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27, 2026</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On October 27, 2026, Nautilus Biotechnology, Inc. (the “Company”) issued a press release reporting its financial results for the quarter ended September 30, 2026. A copy of the press release is furnished herewith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27, 2026.</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27, 2026</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Third Quarter 2026 Financial Results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w:t>
      </w:r>
      <w:r>
        <w:rPr>
          <w:rFonts w:ascii="Times New Roman" w:cs="Times New Roman" w:eastAsia="Times New Roman" w:hAnsi="Times New Roman"/>
          <w:sz w:val="18"/>
          <w:szCs w:val="18"/>
          <w:color w:val="auto"/>
        </w:rPr>
        <w:t>October 27, 2026 – Nautilus Biotechnology, Inc. (NASDAQ: NAUT), a company pioneering a single-molecule proteome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today reported financial results for the third quarter ended September 30,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Business Highlights</w:t>
      </w:r>
    </w:p>
    <w:p>
      <w:pPr>
        <w:spacing w:after="0" w:line="20" w:lineRule="exact"/>
        <w:rPr>
          <w:sz w:val="20"/>
          <w:szCs w:val="20"/>
          <w:color w:val="auto"/>
        </w:rPr>
      </w:pP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a peer-reviewed paper in Nature Methods showing how Iterative Mapping reveals the proteoforms underlying biology and disease, with potential to yield new biomarkers and drug targets.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first development data on oncology proteoform assays, including AKT1, at World HUPO 2026, showing a performance profile matching Tau and supporting platform extensibility.</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the proteoform pipeline needed to deliver twenty assays planned through mid-2028.</w:t>
      </w:r>
    </w:p>
    <w:p>
      <w:pPr>
        <w:ind w:left="660" w:hanging="328"/>
        <w:spacing w:after="0" w:line="22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quarter end, announced participation in SEEDS, a four-year, multi-center research consortium funded by ARPA-H, with Nautilus</w:t>
      </w:r>
    </w:p>
    <w:p>
      <w:pPr>
        <w:ind w:left="660"/>
        <w:spacing w:after="0" w:line="182" w:lineRule="auto"/>
        <w:rPr>
          <w:sz w:val="20"/>
          <w:szCs w:val="20"/>
          <w:color w:val="auto"/>
        </w:rPr>
      </w:pPr>
      <w:r>
        <w:rPr>
          <w:rFonts w:ascii="Times New Roman" w:cs="Times New Roman" w:eastAsia="Times New Roman" w:hAnsi="Times New Roman"/>
          <w:sz w:val="18"/>
          <w:szCs w:val="18"/>
          <w:color w:val="auto"/>
        </w:rPr>
        <w:t>expecting to receive up to $6 million to deploy its Voyager Platform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to measure proteoforms driving Alzheimer’s disease and cancer.</w:t>
      </w:r>
    </w:p>
    <w:p>
      <w:pPr>
        <w:jc w:val="both"/>
        <w:spacing w:after="0" w:line="237" w:lineRule="auto"/>
        <w:rPr>
          <w:sz w:val="20"/>
          <w:szCs w:val="20"/>
          <w:color w:val="auto"/>
        </w:rPr>
      </w:pPr>
      <w:r>
        <w:rPr>
          <w:rFonts w:ascii="Times New Roman" w:cs="Times New Roman" w:eastAsia="Times New Roman" w:hAnsi="Times New Roman"/>
          <w:sz w:val="18"/>
          <w:szCs w:val="18"/>
          <w:color w:val="auto"/>
        </w:rPr>
        <w:t>“The third quarter marked an important step in demonstrating the power and scalability of Iterative Mapping on our Voyager platform,” said Sujal Patel, CEO of Nautilus Biotechnology. “Our seminal publication in Nature Methods highlights the unique biological insights that our technology can deliver. In addition, our proteoform expansion initiative is on-track, with early oncology assay results that demonstrate the performance we established with Tau is repeatable across additional targets. This repeatability is fundamental to our strategy of building a broad portfolio of proteoform assays, and the progress we are seeing reinforces our confidence in our technology, our development roadmap, and our planned instrument availability in the middle of 2027.”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was $0.2 million for the third quarter of 2026, primarily driven by grant revenue from the Company’s activities related to the grant awarded from The Michael J. Fox Foundation during the period, and service revenue for the sales of services under the Iterative Mapping Early Access Program.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were $16.9 million for the third quarter of 2026, a $1.5 million or 10% increase compared to $15.5 million for the corresponding prior year period. The increase in operating expenses is attributable to higher laboratory and professional services and higher salaries and related benefits expense, partially offset by lower facilities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$15.6 million for the third quarter of 2026, as compared to the net loss of $13.6 million for the corresponding prior year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$114.3 million as of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third quarter 2026 financial results, business developments and outlook before market open on Tuesday, October 27, 2026,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operating expenses and cash runway, including any impact thereon from our reallocation of resources; expectations with respect to any revenue timing or projections; expectations with respect to the development required for and the timing of the launch of the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our proteoform applications roadmap and full commercial availability of our proteoform and/or broadscale products and/or services; the functionality and performance of the Nautilus Voyager platform, its potential impact on providing proteome or proteoform access, pharmaceutical development and drug discovery, expanding research horizons, and enabling scientific explorations and discovery; expectations regarding platform specifications required by potential customers and partners and the timeline for adoption of the Nautilus Voyager platform by researchers;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the Nautilus Voyager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or that we will receive the full amount of the SEEDS funding, which may be reduced, delayed or terminated.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September 30, 2026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As of September 30, 2026 and December 31, 2025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91,018</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191,112</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2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34,139</w:t>
            </w:r>
          </w:p>
        </w:tc>
        <w:tc>
          <w:tcPr>
            <w:tcW w:w="0" w:type="dxa"/>
            <w:vAlign w:val="bottom"/>
          </w:tcPr>
          <w:p>
            <w:pPr>
              <w:spacing w:after="0"/>
              <w:rPr>
                <w:sz w:val="1"/>
                <w:szCs w:val="1"/>
                <w:color w:val="auto"/>
              </w:rPr>
            </w:pPr>
          </w:p>
        </w:tc>
      </w:tr>
      <w:tr>
        <w:trPr>
          <w:trHeight w:val="236"/>
        </w:trPr>
        <w:tc>
          <w:tcPr>
            <w:tcW w:w="7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488,737</w:t>
            </w:r>
          </w:p>
        </w:tc>
        <w:tc>
          <w:tcPr>
            <w:tcW w:w="0" w:type="dxa"/>
            <w:vAlign w:val="bottom"/>
          </w:tcPr>
          <w:p>
            <w:pPr>
              <w:spacing w:after="0"/>
              <w:rPr>
                <w:sz w:val="1"/>
                <w:szCs w:val="1"/>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(332,020)</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156,973</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2026 and 2025 (Unaudited)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 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0" w:type="dxa"/>
            <w:vAlign w:val="bottom"/>
          </w:tcPr>
          <w:p>
            <w:pPr>
              <w:spacing w:after="0"/>
              <w:rPr>
                <w:sz w:val="1"/>
                <w:szCs w:val="1"/>
                <w:color w:val="auto"/>
              </w:rPr>
            </w:pPr>
          </w:p>
        </w:tc>
      </w:tr>
      <w:tr>
        <w:trPr>
          <w:trHeight w:val="22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20" w:type="dxa"/>
            <w:vAlign w:val="bottom"/>
            <w:vMerge w:val="continue"/>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0"/>
                <w:szCs w:val="10"/>
                <w:color w:val="auto"/>
              </w:rPr>
            </w:pP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38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38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127,238,065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127,005,067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126,218,587</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Nine Months Ended September 30, 2026 and 2025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(accretion) of premiums (discounts) on securities,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(38,321)</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2026-10-27T06:14:56Z</dcterms:created>
  <dcterms:modified xsi:type="dcterms:W3CDTF">2026-10-27T06:14:56Z</dcterms:modified>
</cp:coreProperties>
</file>