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(Mark One)</w:t>
      </w:r>
    </w:p>
    <w:p>
      <w:pPr>
        <w:spacing w:after="0" w:line="141" w:lineRule="exact"/>
        <w:rPr>
          <w:sz w:val="24"/>
          <w:szCs w:val="24"/>
          <w:color w:val="auto"/>
        </w:rPr>
      </w:pPr>
    </w:p>
    <w:p>
      <w:pPr>
        <w:ind w:left="720" w:hanging="294"/>
        <w:spacing w:after="0"/>
        <w:tabs>
          <w:tab w:leader="none" w:pos="720" w:val="left"/>
        </w:tabs>
        <w:numPr>
          <w:ilvl w:val="0"/>
          <w:numId w:val="1"/>
        </w:numPr>
        <w:rPr>
          <w:rFonts w:ascii="Wingdings" w:cs="Wingdings" w:eastAsia="Wingdings" w:hAnsi="Wingdings"/>
          <w:sz w:val="36"/>
          <w:szCs w:val="36"/>
          <w:b w:val="1"/>
          <w:bCs w:val="1"/>
          <w:color w:val="auto"/>
          <w:vertAlign w:val="superscript"/>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w:t>
      </w:r>
    </w:p>
    <w:p>
      <w:pPr>
        <w:spacing w:after="0" w:line="73" w:lineRule="exact"/>
        <w:rPr>
          <w:sz w:val="24"/>
          <w:szCs w:val="24"/>
          <w:color w:val="auto"/>
        </w:rPr>
      </w:pPr>
    </w:p>
    <w:p>
      <w:pPr>
        <w:ind w:left="720" w:hanging="279"/>
        <w:spacing w:after="0"/>
        <w:tabs>
          <w:tab w:leader="none" w:pos="720" w:val="left"/>
        </w:tabs>
        <w:numPr>
          <w:ilvl w:val="0"/>
          <w:numId w:val="2"/>
        </w:numPr>
        <w:rPr>
          <w:rFonts w:ascii="Wingdings" w:cs="Wingdings" w:eastAsia="Wingdings" w:hAnsi="Wingdings"/>
          <w:sz w:val="36"/>
          <w:szCs w:val="36"/>
          <w:b w:val="1"/>
          <w:bCs w:val="1"/>
          <w:color w:val="auto"/>
          <w:vertAlign w:val="superscript"/>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3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Commission File Number 001-39434</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61" w:lineRule="exact"/>
        <w:rPr>
          <w:sz w:val="24"/>
          <w:szCs w:val="24"/>
          <w:color w:val="auto"/>
        </w:rPr>
      </w:pPr>
    </w:p>
    <w:tbl>
      <w:tblPr>
        <w:tblLayout w:type="fixed"/>
        <w:tblInd w:w="900" w:type="dxa"/>
        <w:tblCellMar>
          <w:top w:w="0" w:type="dxa"/>
          <w:left w:w="0" w:type="dxa"/>
          <w:bottom w:w="0" w:type="dxa"/>
          <w:right w:w="0" w:type="dxa"/>
        </w:tblCellMar>
      </w:tblPr>
      <w:tr>
        <w:trPr>
          <w:trHeight w:val="190"/>
        </w:trPr>
        <w:tc>
          <w:tcPr>
            <w:tcW w:w="358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98-1541723</w:t>
            </w:r>
          </w:p>
        </w:tc>
      </w:tr>
      <w:tr>
        <w:trPr>
          <w:trHeight w:val="163"/>
        </w:trPr>
        <w:tc>
          <w:tcPr>
            <w:tcW w:w="35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40" w:type="dxa"/>
            <w:vAlign w:val="bottom"/>
          </w:tcPr>
          <w:p>
            <w:pPr>
              <w:jc w:val="center"/>
              <w:ind w:left="376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5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40" w:type="dxa"/>
            <w:vAlign w:val="bottom"/>
          </w:tcPr>
          <w:p>
            <w:pPr>
              <w:jc w:val="center"/>
              <w:ind w:left="378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770"/>
        </w:trPr>
        <w:tc>
          <w:tcPr>
            <w:tcW w:w="3580" w:type="dxa"/>
            <w:vAlign w:val="bottom"/>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2701 Eastlake Avenue East Seattle, Washington</w:t>
            </w:r>
          </w:p>
        </w:tc>
        <w:tc>
          <w:tcPr>
            <w:tcW w:w="49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98102</w:t>
            </w:r>
          </w:p>
        </w:tc>
      </w:tr>
      <w:tr>
        <w:trPr>
          <w:trHeight w:val="378"/>
        </w:trPr>
        <w:tc>
          <w:tcPr>
            <w:tcW w:w="35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40" w:type="dxa"/>
            <w:vAlign w:val="bottom"/>
          </w:tcPr>
          <w:p>
            <w:pPr>
              <w:jc w:val="center"/>
              <w:ind w:left="3788"/>
              <w:spacing w:after="0"/>
              <w:rPr>
                <w:sz w:val="20"/>
                <w:szCs w:val="20"/>
                <w:color w:val="auto"/>
              </w:rPr>
            </w:pPr>
            <w:r>
              <w:rPr>
                <w:rFonts w:ascii="Times New Roman" w:cs="Times New Roman" w:eastAsia="Times New Roman" w:hAnsi="Times New Roman"/>
                <w:sz w:val="14"/>
                <w:szCs w:val="14"/>
                <w:color w:val="auto"/>
              </w:rPr>
              <w:t>(Zip Code)</w:t>
            </w:r>
          </w:p>
        </w:tc>
      </w:tr>
      <w:tr>
        <w:trPr>
          <w:trHeight w:val="216"/>
        </w:trPr>
        <w:tc>
          <w:tcPr>
            <w:tcW w:w="3580" w:type="dxa"/>
            <w:vAlign w:val="bottom"/>
          </w:tcPr>
          <w:p>
            <w:pPr>
              <w:spacing w:after="0"/>
              <w:rPr>
                <w:sz w:val="18"/>
                <w:szCs w:val="18"/>
                <w:color w:val="auto"/>
              </w:rPr>
            </w:pPr>
          </w:p>
        </w:tc>
        <w:tc>
          <w:tcPr>
            <w:tcW w:w="4940" w:type="dxa"/>
            <w:vAlign w:val="bottom"/>
          </w:tcPr>
          <w:p>
            <w:pPr>
              <w:jc w:val="right"/>
              <w:ind w:right="3288"/>
              <w:spacing w:after="0"/>
              <w:rPr>
                <w:sz w:val="20"/>
                <w:szCs w:val="20"/>
                <w:color w:val="auto"/>
              </w:rPr>
            </w:pPr>
            <w:r>
              <w:rPr>
                <w:rFonts w:ascii="Times New Roman" w:cs="Times New Roman" w:eastAsia="Times New Roman" w:hAnsi="Times New Roman"/>
                <w:sz w:val="14"/>
                <w:szCs w:val="14"/>
                <w:b w:val="1"/>
                <w:bCs w:val="1"/>
                <w:color w:val="auto"/>
              </w:rPr>
              <w:t>(206) 333-2001</w:t>
            </w:r>
          </w:p>
        </w:tc>
      </w:tr>
    </w:tbl>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85"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75" w:lineRule="exact"/>
        <w:rPr>
          <w:sz w:val="24"/>
          <w:szCs w:val="24"/>
          <w:color w:val="auto"/>
        </w:rPr>
      </w:pPr>
    </w:p>
    <w:tbl>
      <w:tblPr>
        <w:tblLayout w:type="fixed"/>
        <w:tblInd w:w="1100" w:type="dxa"/>
        <w:tblCellMar>
          <w:top w:w="0" w:type="dxa"/>
          <w:left w:w="0" w:type="dxa"/>
          <w:bottom w:w="0" w:type="dxa"/>
          <w:right w:w="0" w:type="dxa"/>
        </w:tblCellMar>
      </w:tblPr>
      <w:tr>
        <w:trPr>
          <w:trHeight w:val="252"/>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8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6"/>
        </w:trPr>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080" w:type="dxa"/>
            <w:vAlign w:val="bottom"/>
          </w:tcPr>
          <w:p>
            <w:pPr>
              <w:jc w:val="center"/>
              <w:ind w:left="39"/>
              <w:spacing w:after="0"/>
              <w:rPr>
                <w:sz w:val="20"/>
                <w:szCs w:val="20"/>
                <w:color w:val="auto"/>
              </w:rPr>
            </w:pPr>
            <w:r>
              <w:rPr>
                <w:rFonts w:ascii="Times New Roman" w:cs="Times New Roman" w:eastAsia="Times New Roman" w:hAnsi="Times New Roman"/>
                <w:sz w:val="14"/>
                <w:szCs w:val="14"/>
                <w:color w:val="auto"/>
              </w:rPr>
              <w:t>NAUT</w:t>
            </w:r>
          </w:p>
        </w:tc>
        <w:tc>
          <w:tcPr>
            <w:tcW w:w="36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302" w:lineRule="exact"/>
        <w:rPr>
          <w:sz w:val="24"/>
          <w:szCs w:val="24"/>
          <w:color w:val="auto"/>
        </w:rPr>
      </w:pPr>
    </w:p>
    <w:p>
      <w:pPr>
        <w:ind w:left="660" w:right="180" w:firstLine="324"/>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026" w:right="379" w:bottom="452" w:gutter="0" w:footer="0" w:header="0"/>
        </w:sectPr>
      </w:pPr>
    </w:p>
    <w:p>
      <w:pPr>
        <w:spacing w:after="0" w:line="200" w:lineRule="exact"/>
        <w:rPr>
          <w:sz w:val="24"/>
          <w:szCs w:val="24"/>
          <w:color w:val="auto"/>
        </w:rPr>
      </w:pPr>
    </w:p>
    <w:p>
      <w:pPr>
        <w:ind w:left="1820"/>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15" w:lineRule="exact"/>
        <w:rPr>
          <w:sz w:val="24"/>
          <w:szCs w:val="24"/>
          <w:color w:val="auto"/>
        </w:rPr>
      </w:pPr>
    </w:p>
    <w:p>
      <w:pPr>
        <w:sectPr>
          <w:pgSz w:w="11900" w:h="16838" w:orient="portrait"/>
          <w:cols w:equalWidth="0" w:num="2">
            <w:col w:w="9980" w:space="720"/>
            <w:col w:w="500"/>
          </w:cols>
          <w:pgMar w:left="320" w:top="1026" w:right="379" w:bottom="452"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5" w:lineRule="exact"/>
        <w:rPr>
          <w:sz w:val="24"/>
          <w:szCs w:val="24"/>
          <w:color w:val="auto"/>
        </w:rPr>
      </w:pPr>
    </w:p>
    <w:p>
      <w:pPr>
        <w:sectPr>
          <w:pgSz w:w="11900" w:h="16838" w:orient="portrait"/>
          <w:cols w:equalWidth="0" w:num="2">
            <w:col w:w="7800" w:space="720"/>
            <w:col w:w="2680"/>
          </w:cols>
          <w:pgMar w:left="320" w:top="1026" w:right="379" w:bottom="452" w:gutter="0" w:footer="0" w:header="0"/>
          <w:type w:val="continuous"/>
        </w:sectPr>
      </w:pPr>
    </w:p>
    <w:p>
      <w:pPr>
        <w:ind w:left="182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1" w:lineRule="exact"/>
        <w:rPr>
          <w:sz w:val="24"/>
          <w:szCs w:val="24"/>
          <w:color w:val="auto"/>
        </w:rPr>
      </w:pPr>
    </w:p>
    <w:p>
      <w:pPr>
        <w:sectPr>
          <w:pgSz w:w="11900" w:h="16838" w:orient="portrait"/>
          <w:cols w:equalWidth="0" w:num="2">
            <w:col w:w="9980" w:space="720"/>
            <w:col w:w="500"/>
          </w:cols>
          <w:pgMar w:left="320" w:top="1026" w:right="379" w:bottom="452"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56" w:lineRule="exact"/>
        <w:rPr>
          <w:sz w:val="24"/>
          <w:szCs w:val="24"/>
          <w:color w:val="auto"/>
        </w:rPr>
      </w:pPr>
    </w:p>
    <w:p>
      <w:pPr>
        <w:sectPr>
          <w:pgSz w:w="11900" w:h="16838" w:orient="portrait"/>
          <w:cols w:equalWidth="0" w:num="2">
            <w:col w:w="7800" w:space="720"/>
            <w:col w:w="2680"/>
          </w:cols>
          <w:pgMar w:left="320" w:top="1026" w:right="379" w:bottom="452" w:gutter="0" w:footer="0" w:header="0"/>
          <w:type w:val="continuous"/>
        </w:sectPr>
      </w:pPr>
    </w:p>
    <w:p>
      <w:pPr>
        <w:ind w:left="10700"/>
        <w:spacing w:after="0"/>
        <w:rPr>
          <w:sz w:val="20"/>
          <w:szCs w:val="20"/>
          <w:color w:val="auto"/>
        </w:rPr>
      </w:pPr>
      <w:r>
        <w:rPr>
          <w:rFonts w:ascii="Wingdings" w:cs="Wingdings" w:eastAsia="Wingdings" w:hAnsi="Wingdings"/>
          <w:sz w:val="14"/>
          <w:szCs w:val="14"/>
          <w:b w:val="1"/>
          <w:bCs w:val="1"/>
          <w:color w:val="auto"/>
        </w:rPr>
        <w:t>o</w:t>
      </w:r>
    </w:p>
    <w:p>
      <w:pPr>
        <w:spacing w:after="0" w:line="4" w:lineRule="exact"/>
        <w:rPr>
          <w:sz w:val="24"/>
          <w:szCs w:val="24"/>
          <w:color w:val="auto"/>
        </w:rPr>
      </w:pPr>
    </w:p>
    <w:p>
      <w:pPr>
        <w:ind w:left="85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77"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08" w:lineRule="exact"/>
        <w:rPr>
          <w:sz w:val="24"/>
          <w:szCs w:val="24"/>
          <w:color w:val="auto"/>
        </w:rPr>
      </w:pPr>
    </w:p>
    <w:p>
      <w:pPr>
        <w:ind w:right="1200" w:firstLine="324"/>
        <w:spacing w:after="0" w:line="45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22, 2026, the registrant had 127,372,425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026" w:right="379" w:bottom="452" w:gutter="0" w:footer="0" w:header="0"/>
          <w:type w:val="continuous"/>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0" w:type="dxa"/>
            <w:vAlign w:val="bottom"/>
            <w:gridSpan w:val="11"/>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NAUTILUS BIOTECHNOLOGY, INC.</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0" w:type="dxa"/>
            <w:vAlign w:val="bottom"/>
            <w:gridSpan w:val="11"/>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425"/>
        </w:trPr>
        <w:tc>
          <w:tcPr>
            <w:tcW w:w="10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30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iii</w:t>
            </w:r>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660" w:type="dxa"/>
            <w:vAlign w:val="bottom"/>
            <w:gridSpan w:val="12"/>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42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60" w:type="dxa"/>
            <w:vAlign w:val="bottom"/>
            <w:gridSpan w:val="10"/>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6"/>
                <w:szCs w:val="6"/>
                <w:color w:val="0000FF"/>
                <w:w w:val="78"/>
              </w:rPr>
              <w:t>iii</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2026 and December 31, 2025 (unaudited)</w:t>
            </w: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1</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2026 and 2025</w:t>
            </w:r>
          </w:p>
        </w:tc>
        <w:tc>
          <w:tcPr>
            <w:tcW w:w="38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0000FF"/>
                <w:w w:val="88"/>
              </w:rPr>
              <w:t>2</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gridSpan w:val="2"/>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5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Nine Months Ended September 30, 2026 and 2025</w:t>
            </w: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520" w:type="dxa"/>
            <w:vAlign w:val="bottom"/>
            <w:gridSpan w:val="22"/>
            <w:vMerge w:val="continue"/>
          </w:tcPr>
          <w:p>
            <w:pPr>
              <w:spacing w:after="0"/>
              <w:rPr>
                <w:sz w:val="22"/>
                <w:szCs w:val="22"/>
                <w:color w:val="auto"/>
              </w:rPr>
            </w:pPr>
          </w:p>
        </w:tc>
        <w:tc>
          <w:tcPr>
            <w:tcW w:w="38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0000FF"/>
                <w:w w:val="88"/>
              </w:rPr>
              <w:t>3</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gridSpan w:val="2"/>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gridSpan w:val="3"/>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5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2026 and 2025</w:t>
            </w: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520" w:type="dxa"/>
            <w:vAlign w:val="bottom"/>
            <w:gridSpan w:val="22"/>
            <w:vMerge w:val="continue"/>
          </w:tcPr>
          <w:p>
            <w:pPr>
              <w:spacing w:after="0"/>
              <w:rPr>
                <w:sz w:val="22"/>
                <w:szCs w:val="22"/>
                <w:color w:val="auto"/>
              </w:rPr>
            </w:pPr>
          </w:p>
        </w:tc>
        <w:tc>
          <w:tcPr>
            <w:tcW w:w="38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0000FF"/>
                <w:w w:val="88"/>
              </w:rPr>
              <w:t>4</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90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480" w:type="dxa"/>
            <w:vAlign w:val="bottom"/>
            <w:tcBorders>
              <w:top w:val="single" w:sz="8" w:color="0000FF"/>
            </w:tcBorders>
            <w:gridSpan w:val="17"/>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7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Pr>
          <w:p>
            <w:pPr>
              <w:spacing w:after="0"/>
              <w:rPr>
                <w:sz w:val="23"/>
                <w:szCs w:val="23"/>
                <w:color w:val="auto"/>
              </w:rPr>
            </w:pPr>
          </w:p>
        </w:tc>
        <w:tc>
          <w:tcPr>
            <w:tcW w:w="88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2026 and 2025 (unaudited)</w:t>
            </w:r>
          </w:p>
        </w:tc>
        <w:tc>
          <w:tcPr>
            <w:tcW w:w="720" w:type="dxa"/>
            <w:vAlign w:val="bottom"/>
            <w:gridSpan w:val="3"/>
          </w:tcPr>
          <w:p>
            <w:pPr>
              <w:spacing w:after="0"/>
              <w:rPr>
                <w:sz w:val="23"/>
                <w:szCs w:val="23"/>
                <w:color w:val="auto"/>
              </w:rPr>
            </w:pP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6</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8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20" w:type="dxa"/>
            <w:vAlign w:val="bottom"/>
            <w:gridSpan w:val="3"/>
          </w:tcPr>
          <w:p>
            <w:pPr>
              <w:spacing w:after="0"/>
              <w:rPr>
                <w:sz w:val="22"/>
                <w:szCs w:val="22"/>
                <w:color w:val="auto"/>
              </w:rPr>
            </w:pP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7</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gridSpan w:val="6"/>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20</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60" w:type="dxa"/>
            <w:vAlign w:val="bottom"/>
            <w:gridSpan w:val="8"/>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33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900" w:type="dxa"/>
            <w:vAlign w:val="bottom"/>
            <w:gridSpan w:val="14"/>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80" w:type="dxa"/>
            <w:vAlign w:val="bottom"/>
            <w:gridSpan w:val="16"/>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34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80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80" w:type="dxa"/>
            <w:vAlign w:val="bottom"/>
            <w:gridSpan w:val="9"/>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80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0" w:type="dxa"/>
            <w:vAlign w:val="bottom"/>
            <w:gridSpan w:val="11"/>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80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18"/>
                <w:szCs w:val="18"/>
                <w:color w:val="auto"/>
              </w:rPr>
            </w:pPr>
          </w:p>
        </w:tc>
        <w:tc>
          <w:tcPr>
            <w:tcW w:w="7760" w:type="dxa"/>
            <w:vAlign w:val="bottom"/>
            <w:gridSpan w:val="13"/>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80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920" w:type="dxa"/>
            <w:vAlign w:val="bottom"/>
            <w:gridSpan w:val="20"/>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81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10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82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right="580"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sections entitled “Risk Factors” and “Management’s Discussion and Analysis of Financial Condition and Results of Operations.” Forward-looking statements include, but are not limited to, statements concerning the following:</w:t>
      </w:r>
    </w:p>
    <w:p>
      <w:pPr>
        <w:spacing w:after="0" w:line="126" w:lineRule="exact"/>
        <w:rPr>
          <w:sz w:val="20"/>
          <w:szCs w:val="20"/>
          <w:color w:val="auto"/>
        </w:rPr>
      </w:pPr>
    </w:p>
    <w:p>
      <w:pPr>
        <w:ind w:right="380" w:firstLine="332"/>
        <w:spacing w:after="0" w:line="230"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our proteomics platform (the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which remains in the development stage and subject to scientific and technical validation;</w:t>
      </w:r>
    </w:p>
    <w:p>
      <w:pPr>
        <w:spacing w:after="0" w:line="145" w:lineRule="exact"/>
        <w:rPr>
          <w:rFonts w:ascii="Times New Roman" w:cs="Times New Roman" w:eastAsia="Times New Roman" w:hAnsi="Times New Roman"/>
          <w:sz w:val="18"/>
          <w:szCs w:val="18"/>
          <w:color w:val="auto"/>
        </w:rPr>
      </w:pPr>
    </w:p>
    <w:p>
      <w:pPr>
        <w:ind w:right="2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progress of the development of the Nautilus Voyager platform (including our broadscale assay) and any commercialization timelines;</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functionality of the Nautilus Voyager platform, including our plans to expand our proteoform portfolio and develop our broadscale assay;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availability of private and public research funding for proteomics research and development activities;</w:t>
      </w:r>
    </w:p>
    <w:p>
      <w:pPr>
        <w:spacing w:after="0" w:line="171" w:lineRule="exact"/>
        <w:rPr>
          <w:rFonts w:ascii="Times New Roman" w:cs="Times New Roman" w:eastAsia="Times New Roman" w:hAnsi="Times New Roman"/>
          <w:sz w:val="18"/>
          <w:szCs w:val="18"/>
          <w:color w:val="auto"/>
        </w:rPr>
      </w:pPr>
    </w:p>
    <w:p>
      <w:pPr>
        <w:ind w:right="2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addressable market, market growth, future revenue, key performance indicators, expenses, capital requirements and needs for additional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Nautilus Voyager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Nautilus Voyager platform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and commercialize our Nautilus Voyager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phased commercial launch plan for different applications of our Nautilus Voyager platform;</w:t>
      </w:r>
    </w:p>
    <w:p>
      <w:pPr>
        <w:spacing w:after="0" w:line="171" w:lineRule="exact"/>
        <w:rPr>
          <w:rFonts w:ascii="Times New Roman" w:cs="Times New Roman" w:eastAsia="Times New Roman" w:hAnsi="Times New Roman"/>
          <w:sz w:val="18"/>
          <w:szCs w:val="18"/>
          <w:color w:val="auto"/>
        </w:rPr>
      </w:pPr>
    </w:p>
    <w:p>
      <w:pPr>
        <w:ind w:right="50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the Nautilus Voyager platform in both targeted proteoform and broadscale proteomics analysis;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partners, manufacturers and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length of time that our existing cash resources will fund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or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support, and commercialize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in compliance with the Nasdaq Listing Rules, and maintain the listing of our public securities on The Nasdaq Stock Market LLC;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p>
      <w:pPr>
        <w:spacing w:after="0" w:line="140" w:lineRule="exact"/>
        <w:rPr>
          <w:sz w:val="20"/>
          <w:szCs w:val="20"/>
          <w:color w:val="auto"/>
        </w:rPr>
      </w:pPr>
    </w:p>
    <w:p>
      <w:pPr>
        <w:ind w:right="440" w:firstLine="332"/>
        <w:spacing w:after="0" w:line="282" w:lineRule="auto"/>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national and international economic conditions and events, volatility in the global financial markets and general economic downturns, on the foregoing.</w:t>
      </w:r>
    </w:p>
    <w:p>
      <w:pPr>
        <w:spacing w:after="0" w:line="108"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3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2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3"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As of September 30, 2026 and December 31,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2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6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91,018</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105,963</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52,739</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191,112</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0" w:type="dxa"/>
            <w:vAlign w:val="bottom"/>
          </w:tcPr>
          <w:p>
            <w:pPr>
              <w:spacing w:after="0"/>
              <w:rPr>
                <w:sz w:val="1"/>
                <w:szCs w:val="1"/>
                <w:color w:val="auto"/>
              </w:rPr>
            </w:pPr>
          </w:p>
        </w:tc>
      </w:tr>
      <w:tr>
        <w:trPr>
          <w:trHeight w:val="223"/>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26,187</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34,139</w:t>
            </w:r>
          </w:p>
        </w:tc>
        <w:tc>
          <w:tcPr>
            <w:tcW w:w="0" w:type="dxa"/>
            <w:vAlign w:val="bottom"/>
          </w:tcPr>
          <w:p>
            <w:pPr>
              <w:spacing w:after="0"/>
              <w:rPr>
                <w:sz w:val="1"/>
                <w:szCs w:val="1"/>
                <w:color w:val="auto"/>
              </w:rPr>
            </w:pPr>
          </w:p>
        </w:tc>
      </w:tr>
      <w:tr>
        <w:trPr>
          <w:trHeight w:val="236"/>
        </w:trPr>
        <w:tc>
          <w:tcPr>
            <w:tcW w:w="7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200,000,000 authorized as of September 30, 2026 and</w:t>
            </w: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December 31, 2025; 0 shares issued and outstanding as of September 30, 2026 and December 31,</w:t>
            </w: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5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as of September 30, 2026 and</w:t>
            </w: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December 31, 2025; 127,328,617 and 126,469,610 shares issued and outstanding as of</w:t>
            </w: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September 30, 2026 and December 31, 2025, respectively</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488,737</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(332,020)</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156,973</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191,112</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ind w:left="20"/>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2026 and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30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 revenue</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31,535</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51,413</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60" w:type="dxa"/>
            <w:vAlign w:val="bottom"/>
            <w:vMerge w:val="continue"/>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0"/>
                <w:szCs w:val="10"/>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w:t>
            </w:r>
          </w:p>
        </w:tc>
        <w:tc>
          <w:tcPr>
            <w:tcW w:w="3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 attributable to common stockholders, basic and</w:t>
            </w:r>
          </w:p>
        </w:tc>
        <w:tc>
          <w:tcPr>
            <w:tcW w:w="36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127,238,065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126,305,122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127,005,067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126,218,587</w:t>
            </w:r>
          </w:p>
        </w:tc>
        <w:tc>
          <w:tcPr>
            <w:tcW w:w="0" w:type="dxa"/>
            <w:vAlign w:val="bottom"/>
          </w:tcPr>
          <w:p>
            <w:pPr>
              <w:spacing w:after="0"/>
              <w:rPr>
                <w:sz w:val="1"/>
                <w:szCs w:val="1"/>
                <w:color w:val="auto"/>
              </w:rPr>
            </w:pPr>
          </w:p>
        </w:tc>
      </w:tr>
      <w:tr>
        <w:trPr>
          <w:trHeight w:val="227"/>
        </w:trPr>
        <w:tc>
          <w:tcPr>
            <w:tcW w:w="4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Loss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2026 and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securities available-for-sale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Stockholders’ Equity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2026 and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2026</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60" w:type="dxa"/>
            <w:vAlign w:val="bottom"/>
            <w:tcBorders>
              <w:top w:val="single" w:sz="8" w:color="auto"/>
            </w:tcBorders>
          </w:tcPr>
          <w:p>
            <w:pPr>
              <w:spacing w:after="0"/>
              <w:rPr>
                <w:sz w:val="5"/>
                <w:szCs w:val="5"/>
                <w:color w:val="auto"/>
              </w:rPr>
            </w:pPr>
          </w:p>
        </w:tc>
        <w:tc>
          <w:tcPr>
            <w:tcW w:w="1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80" w:type="dxa"/>
            <w:vAlign w:val="bottom"/>
            <w:gridSpan w:val="6"/>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8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80" w:type="dxa"/>
            <w:vAlign w:val="bottom"/>
          </w:tcPr>
          <w:p>
            <w:pPr>
              <w:spacing w:after="0"/>
              <w:rPr>
                <w:sz w:val="16"/>
                <w:szCs w:val="16"/>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ComprehensiveLoss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2026</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127,224,640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492,616</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(361,186)</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2026</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127,328,617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493,940</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(376,822)</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2025</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4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60" w:type="dxa"/>
            <w:vAlign w:val="bottom"/>
            <w:tcBorders>
              <w:top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gridSpan w:val="6"/>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gridSpan w:val="6"/>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jc w:val="center"/>
              <w:ind w:right="135"/>
              <w:spacing w:after="0" w:line="146"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gridSpan w:val="6"/>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5"/>
            <w:vMerge w:val="restart"/>
          </w:tcPr>
          <w:p>
            <w:pPr>
              <w:jc w:val="center"/>
              <w:ind w:right="220"/>
              <w:spacing w:after="0" w:line="11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60" w:type="dxa"/>
            <w:vAlign w:val="bottom"/>
            <w:gridSpan w:val="3"/>
            <w:vMerge w:val="restart"/>
          </w:tcPr>
          <w:p>
            <w:pPr>
              <w:jc w:val="right"/>
              <w:ind w:right="6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5"/>
            <w:vMerge w:val="restart"/>
          </w:tcPr>
          <w:p>
            <w:pPr>
              <w:jc w:val="center"/>
              <w:ind w:right="12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5"/>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80" w:type="dxa"/>
            <w:vAlign w:val="bottom"/>
          </w:tcPr>
          <w:p>
            <w:pPr>
              <w:spacing w:after="0"/>
              <w:rPr>
                <w:sz w:val="17"/>
                <w:szCs w:val="17"/>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126,305,122</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485,669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126,305,122</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Stockholders’ Equity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2026 and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2026</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64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00" w:type="dxa"/>
            <w:vAlign w:val="bottom"/>
            <w:tcBorders>
              <w:top w:val="single" w:sz="8" w:color="auto"/>
            </w:tcBorders>
          </w:tcPr>
          <w:p>
            <w:pPr>
              <w:spacing w:after="0"/>
              <w:rPr>
                <w:sz w:val="6"/>
                <w:szCs w:val="6"/>
                <w:color w:val="auto"/>
              </w:rPr>
            </w:pPr>
          </w:p>
        </w:tc>
        <w:tc>
          <w:tcPr>
            <w:tcW w:w="2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160" w:type="dxa"/>
            <w:vAlign w:val="bottom"/>
            <w:gridSpan w:val="7"/>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restart"/>
          </w:tcPr>
          <w:p>
            <w:pPr>
              <w:jc w:val="center"/>
              <w:ind w:right="180"/>
              <w:spacing w:after="0" w:line="97"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160" w:type="dxa"/>
            <w:vAlign w:val="bottom"/>
            <w:gridSpan w:val="7"/>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tcBorders>
              <w:bottom w:val="single" w:sz="8" w:color="auto"/>
            </w:tcBorders>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126,469,610</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488,737</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(332,020)</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774,221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127,328,617</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493,940</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(376,822)</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2025</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640" w:type="dxa"/>
            <w:vAlign w:val="bottom"/>
            <w:gridSpan w:val="3"/>
            <w:vMerge w:val="continue"/>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00" w:type="dxa"/>
            <w:vAlign w:val="bottom"/>
            <w:tcBorders>
              <w:top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60" w:type="dxa"/>
            <w:vAlign w:val="bottom"/>
            <w:gridSpan w:val="7"/>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160" w:type="dxa"/>
            <w:vAlign w:val="bottom"/>
            <w:gridSpan w:val="7"/>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jc w:val="center"/>
              <w:ind w:right="134"/>
              <w:spacing w:after="0" w:line="146"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7"/>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restart"/>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gridSpan w:val="3"/>
            <w:vMerge w:val="restart"/>
          </w:tcPr>
          <w:p>
            <w:pPr>
              <w:jc w:val="center"/>
              <w:ind w:right="6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5"/>
            <w:vMerge w:val="restart"/>
          </w:tcPr>
          <w:p>
            <w:pPr>
              <w:jc w:val="center"/>
              <w:ind w:right="12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5"/>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126,106,176</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481,679</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64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138,513</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126,305,122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487,165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Nine Months Ended September 30, 2026 and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(accretion) of premiums (discounts) on securities,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(38,321)</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 on non-cash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property and equipment included in accounts payable and accrued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selling, general and administrative support for these operations.</w:t>
      </w:r>
    </w:p>
    <w:p>
      <w:pPr>
        <w:spacing w:after="0" w:line="1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results of operations, and cash flows for the interim periods. The interim financial results are not necessarily indicative of the results for a full year. These financial statements and accompanying notes should be read in conjunction with the consolidated financial statements and notes thereto in the Company’s Annual Report on Form 10-K for the fiscal year ended December 31, 2025 on file with the SEC. The Company’s reporting currency is the U.S. dollar.</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September 30, 2026, the Company had an accumulated deficit of $376.8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6" w:right="39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investments of $114.3 million as of September 30, 2026. As of the date on which these condensed consolidated financial statements were issued, the Company believes that its cash, cash equivalents, and investments will be sufficient to fund its operations for at least the next twelve months following the issuance of the condensed consolidated financial statements. The Company’s actual results and its near and long-term future capital requirements will depend on many factors, including its growth rate and the timing and extent of spending to support its research and development efforts. Future liquidity and cash requirements will depend on numerous factors. The Company will be required to seek additional equity or debt financing to fund future operations, and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34"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risk represents the accounting loss that would be recognized as of the reporting date if counterparties failed to perform as contracted.</w:t>
      </w:r>
    </w:p>
    <w:p>
      <w:pPr>
        <w:spacing w:after="0" w:line="171"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4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negative global and national events and the need to obtain adequate additional financing to fund the development of its products. There can be no assurance that the Company’s research and development will be successfully completed, that adequate protection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6" w:right="37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Company’s service revenue is derived from the generation and analysis of proteomic data for the Company’s Iterative Mapping Early Access Program (“Early Access Program”) customers.</w:t>
      </w:r>
    </w:p>
    <w:p>
      <w:pPr>
        <w:spacing w:after="0" w:line="108"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control of the promised services is transferred to its customers, in an amount that reflects the consideration expected to be received in exchange for those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transferred control of the service to the customer, meaning the customer has the ability to use and obtain the benefit of the service.</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service revenue consists of service fees for the generation and analysis of proteomic data for our Early Access Program customers. The Company generally has one performance obligation for the generation and delivery of proteomic data to the customer. Revenue from services is recognized once the results are delivered to the customer, which is when the customer obtains benefit of the service. Customers are invoiced generally upon delivery of services, and payment is typically due within 30 days.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Company’s activities related to the grant awarded from The Michael J. Fox Foundation (“MJFF”) commenced in the second quarter of 2026. The Company recognizes grant revenue as qualifying costs are incurred and the donor-imposed conditions are substantially met under Accounting Standards Codification 958-605.</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Amounts received in advance of satisfying the underlying conditions are recorded as grant liabilities within other current liabilities, or within other long-term liabilities if settlement is expected beyond 12 months. Cash receipts from grants are classified as operating activities in the condensed consolidated statements of cash flows. Expenses incurred in connection with this grant arrangement are recognized as research and development expense in the condensed consolidated statement of operations.</w:t>
      </w:r>
    </w:p>
    <w:p>
      <w:pPr>
        <w:spacing w:after="0" w:line="12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Grant revenue, and the related research and development costs incurred, were $0.2 million and $0.4 million for the three and nine months ended September 30, 2026, respectively. The Company received the first and second payments of $0.4 million and $0.4 million from MJFF in the second and third quarters of 2026, respectively. These payments were recorded as a grant liability in accrued expenses and other liabilities in the condensed consolidated balance sheets. Of the $0.8 million received as of September 30, 2026, $0.4 million was recognized as grant revenue as qualifying costs were incurred during the nine months ended September 30, 2026, and $0.4 million remained recorded as a grant liability as of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as of the date of acquisition to be cash equivalents.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Expected Credit Losses</w:t>
      </w:r>
    </w:p>
    <w:p>
      <w:pPr>
        <w:spacing w:after="0" w:line="17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Following the commencement of sales under the Early Access Program in the second quarter of 2026, the Company began recording accounts receivable, net.</w:t>
      </w:r>
    </w:p>
    <w:p>
      <w:pPr>
        <w:spacing w:after="0" w:line="10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consists of amounts due from customers for the sales of services, net of any allowance for expected credit losses. As of September 30, 2026, the Company had accounts receivable balances of less than $0.1 million recorded in prepaid expenses and other current assets in the condensed consolidated balance sheets.</w:t>
      </w:r>
    </w:p>
    <w:p>
      <w:pPr>
        <w:spacing w:after="0" w:line="12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Company’s allowance for expected credit losses on receivables is estimated based on an evaluation of historical experience (once available), current aging of receivables, the financial condition of customers, and forward-looking economic conditions. Accounts receivable balances are written off against the allowance when they are deemed uncollectible, at which point collection efforts are discontinued. Management evaluated the Company's outstanding accounts receivable as of September 30, 2026, and concluded that no allowance for expected credit losses was required, as the balances were deemed fully collectible. There were no write-offs of uncollectible accounts during the three and nine months ended September 30, 2026.</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investments with an original maturity greater than three months and remaining maturities less than 12 months to be short-term investments. The Company classifies those investments that are not required for use in current operations and that mature in more than 12 months as long-term investments.</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140" w:firstLine="324"/>
        <w:spacing w:after="0" w:line="31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8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p>
      <w:pPr>
        <w:spacing w:after="0" w:line="17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2026, in connection with the launch of the Company’s Early Access Program and other commercialization activities, we began capitalizing inventory costs. Inventory is stated at the lower of cost or net realizable value with cost determined using a standard cost system, which approximates actual costs determined on the first-in first-out basis. Standard costs are reviewed and updated periodically to ensure they remain representative of current production costs. Materials that may be utilized for either commercial or, alternatively, for research and development purposes, are classified as inventory, specifically as raw materials and supplies. Amounts in inventory used for research and development purposes are charged to research and development expense when the item enters the research and development process and can no longer be used for commercial purposes. During the nine months ended September 30, 2026, $0.9 million was charged to research and development expense.</w:t>
      </w:r>
    </w:p>
    <w:p>
      <w:pPr>
        <w:spacing w:after="0" w:line="13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Provisions for slow-moving, excess or obsolete inventories are recorded when required to reduce inventory values to their estimated net realizable values. For the quarter ended September 30, 2026, the Company did not have any inventory reserves. As of September 30, 2026, the Company had inventory of $0.9 million recorded in prepaid expenses and other current assets in the condensed consolidated balance sheets.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Comprehensive loss consists of net loss and other gains or losses affecting stockholders’ equity that, under U.S. GAAP are excluded from net loss. For the three and nine months ended September 30, 2026 and 2025,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and losses on marketable debt securities were included as a component of comprehensive income (loss).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Accounting Standards Update (“ASU”) 2024-03, Income Statement—Reporting Comprehensive Income—Expense Disaggregation Disclosures (Subtopic 220-40). The amendments in this update require disclosure, in the notes to financial statements, of specified information about certain costs and expenses. The ASU is effective for the Company for the fiscal year ending December 31, 2027 and for interim periods beginning after December 31, 2027. The Company does not anticipate adoption to have a material impact on its consolidated financial statements and related disclosures.</w:t>
      </w:r>
    </w:p>
    <w:p>
      <w:pPr>
        <w:spacing w:after="0" w:line="12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carried at fair value and measured on a recurring basis within the three levels of fair value as of September 30, 2026 and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60" w:type="dxa"/>
            <w:vAlign w:val="bottom"/>
          </w:tcPr>
          <w:p>
            <w:pPr>
              <w:spacing w:after="0"/>
              <w:rPr>
                <w:sz w:val="11"/>
                <w:szCs w:val="11"/>
                <w:color w:val="auto"/>
              </w:rPr>
            </w:pPr>
          </w:p>
        </w:tc>
        <w:tc>
          <w:tcPr>
            <w:tcW w:w="1160" w:type="dxa"/>
            <w:vAlign w:val="bottom"/>
            <w:gridSpan w:val="4"/>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4"/>
        </w:trPr>
        <w:tc>
          <w:tcPr>
            <w:tcW w:w="2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86,942</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62,205</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23,814</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60" w:type="dxa"/>
            <w:vAlign w:val="bottom"/>
          </w:tcPr>
          <w:p>
            <w:pPr>
              <w:spacing w:after="0"/>
              <w:rPr>
                <w:sz w:val="11"/>
                <w:szCs w:val="11"/>
                <w:color w:val="auto"/>
              </w:rPr>
            </w:pPr>
          </w:p>
        </w:tc>
        <w:tc>
          <w:tcPr>
            <w:tcW w:w="1160" w:type="dxa"/>
            <w:vAlign w:val="bottom"/>
            <w:gridSpan w:val="4"/>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60" w:type="dxa"/>
            <w:vAlign w:val="bottom"/>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4"/>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91,594</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Short-term investments have a contractual maturity date that is one year or less from the respective balance sheet date. Long-term investments have a contractual maturity date that is more than one year, but less than two years from the respective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continuous unrealized loss positions in excess of twelve months as of September 30, 2026.</w:t>
      </w:r>
    </w:p>
    <w:p>
      <w:pPr>
        <w:spacing w:after="0" w:line="1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reviewed its investment portfolio based on the underlying risk profile of the securities and have no loss expectation for these investments. The Company reviewed the securities in an unrealized loss position and evaluated the current expected credit loss by considering factors such as historical experience, market data, issuer-specific factors, and current economic conditions. The Company recognized no credit losses during the three and nine months ended September 30, 2026 and 2025, and had no allowance for credit losses as of September 30, 2026 and December 31, 2025.</w:t>
      </w:r>
    </w:p>
    <w:p>
      <w:pPr>
        <w:spacing w:after="0" w:line="122" w:lineRule="exact"/>
        <w:rPr>
          <w:sz w:val="20"/>
          <w:szCs w:val="20"/>
          <w:color w:val="auto"/>
        </w:rPr>
      </w:pPr>
    </w:p>
    <w:p>
      <w:pPr>
        <w:ind w:right="4660" w:firstLine="8"/>
        <w:spacing w:after="0" w:line="440" w:lineRule="auto"/>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Prototype equipment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depreciation expense of $0.2 million and $0.8 million for the three and nine months ended September 30, 2026, and $0.4 million and $1.3 million for the three and nine months ended September 30, 2025, respectively, which was primarily allocated to research and development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Liabilities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 (Note 8)</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Other long-term assets consisted of $0.9 million of restricted cash and $0.2 million of deposits as of September 30, 2026 and $1.0 million of restricted cash and $0.2 million of deposits as of December 31, 2025.</w:t>
      </w:r>
    </w:p>
    <w:p>
      <w:pPr>
        <w:spacing w:after="0" w:line="104"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127,328,617 shares issued and outstanding as of September 30, 2026.</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Shares of common stock reserved for future issuance on an as-if converted basis,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2760" w:type="dxa"/>
            <w:vAlign w:val="bottom"/>
            <w:tcBorders>
              <w:bottom w:val="single" w:sz="8" w:color="CCEEFF"/>
            </w:tcBorders>
          </w:tcPr>
          <w:p>
            <w:pPr>
              <w:spacing w:after="0"/>
              <w:rPr>
                <w:sz w:val="17"/>
                <w:szCs w:val="17"/>
                <w:color w:val="auto"/>
              </w:rPr>
            </w:pPr>
          </w:p>
        </w:tc>
        <w:tc>
          <w:tcPr>
            <w:tcW w:w="526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33,345,527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29,341,567</w:t>
            </w: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5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18,816,169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17,270,870</w:t>
            </w: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6,697,982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5,518,072</w:t>
            </w: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58,859,678</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52,130,509</w:t>
            </w:r>
          </w:p>
        </w:tc>
      </w:tr>
      <w:tr>
        <w:trPr>
          <w:trHeight w:val="20"/>
        </w:trPr>
        <w:tc>
          <w:tcPr>
            <w:tcW w:w="2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nine months ended September 30, 2026 and 2025, no income tax expense or benefit was recognized, due to a full valuation allowance recorded against its deferred tax assets. For the three and nine months ended September 30, 2026 and 2025, the effective tax rate was 0%, primarily due to a valuation allowance recorded against the net deferred tax asset balance.</w:t>
      </w:r>
    </w:p>
    <w:p>
      <w:pPr>
        <w:spacing w:after="0" w:line="129"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 and Stock-based Compensation</w:t>
      </w:r>
    </w:p>
    <w:p>
      <w:pPr>
        <w:spacing w:after="0" w:line="17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On June 8, 2021, the stockholders of the Company approved the 2021 Equity Incentive Plan (“2021 Plan”) and the 2021 Employee Stock Purchase Plan (“2021 ESPP”). As of September 30, 2026, 33,345,527 and 6,697,982 shares were available for grant under the 2021 Plan and 2021 ESPP, respectively.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the 2021 ESPP, participants are permitted to purchase shares of Common Stock, up to the IRS allowable limit, through contributions (in the form of payroll deductions or otherwise to the extent permitted by the administrator of the 2021 ESPP)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The Company offers a six month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in an amount equal to the least of (i)</w:t>
      </w: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18" w:name="page19"/>
    <w:bookmarkEnd w:id="1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2026, the number of shares available under the 2021 ESPP increased by 1,264,696 shares pursuant to this feature.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ind w:right="160" w:firstLine="324"/>
        <w:spacing w:after="0" w:line="257" w:lineRule="auto"/>
        <w:rPr>
          <w:sz w:val="20"/>
          <w:szCs w:val="20"/>
          <w:color w:val="auto"/>
        </w:rPr>
      </w:pPr>
      <w:r>
        <w:rPr>
          <w:rFonts w:ascii="Times New Roman" w:cs="Times New Roman" w:eastAsia="Times New Roman" w:hAnsi="Times New Roman"/>
          <w:sz w:val="18"/>
          <w:szCs w:val="18"/>
          <w:color w:val="auto"/>
        </w:rPr>
        <w:t>Under the 2021 Plan, the Company can grant incentive stock options, nonstatutory stock options, stock appreciation rights, restricted stock, restricted stock units and performance awards to employees, non-employee directors and consultants. Options generally expire ten years after the date of grant. The number of shares available for issuance under the 2021 Plan will be increased on the first day of each fiscal year in an amount equal to the least of (i)</w:t>
      </w:r>
    </w:p>
    <w:p>
      <w:pPr>
        <w:spacing w:after="0" w:line="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 On January 1, 2026, the number of shares available under the 2021 Plan increased by 6,323,480 shares pursuant to this feature.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75"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At the time of adoption of the 2021 Plan and the 2021 ESPP, no further awards will be granted under the 2017 Equity Incentive Plan (“2017 Plan”). Stock-based awards forfeited or cancelled from the 2017 Plan are returned to the pool of shares of Common Stock available for issuance under the 2021 Plan.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Date Fair Value of Stock Options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determining the compensation cost of the option awards, the fair value for each option award has been estimated using the Black-Scholes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assumptions used in these calculations are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41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40" w:type="dxa"/>
            <w:vAlign w:val="bottom"/>
            <w:gridSpan w:val="3"/>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0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90"/>
        </w:trPr>
        <w:tc>
          <w:tcPr>
            <w:tcW w:w="30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5.3 - 6.1</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5.3 - 6.0</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 - 79.9%</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 - 102.7%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 - 82.0%</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 - 103.0%</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 - 4.80%</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- 3.88%</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- 4.80%</w:t>
            </w:r>
          </w:p>
        </w:tc>
        <w:tc>
          <w:tcPr>
            <w:tcW w:w="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- 4.04%</w:t>
            </w:r>
          </w:p>
        </w:tc>
      </w:tr>
    </w:tbl>
    <w:p>
      <w:pPr>
        <w:spacing w:after="0" w:line="19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85" w:lineRule="exact"/>
        <w:rPr>
          <w:sz w:val="20"/>
          <w:szCs w:val="20"/>
          <w:color w:val="auto"/>
        </w:rPr>
      </w:pPr>
    </w:p>
    <w:p>
      <w:pPr>
        <w:ind w:right="60" w:firstLine="324"/>
        <w:spacing w:after="0" w:line="226" w:lineRule="exact"/>
        <w:rPr>
          <w:sz w:val="20"/>
          <w:szCs w:val="20"/>
          <w:color w:val="auto"/>
        </w:rPr>
      </w:pPr>
      <w:r>
        <w:rPr>
          <w:rFonts w:ascii="Times New Roman" w:cs="Times New Roman" w:eastAsia="Times New Roman" w:hAnsi="Times New Roman"/>
          <w:sz w:val="18"/>
          <w:szCs w:val="18"/>
          <w:color w:val="auto"/>
        </w:rPr>
        <w:t>Expected volatility: We became a public company in 2021 following the Business Combination, and as such, the Company lacked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historical and implied volatility information to solely utilize its own data for purposes of establishing the volatility assumption for use in the Black-Scholes model. Therefore, we estimate our expected volatility of the Company’s common stock based on a mix of company-specific historical volatility and an average of historical volatilities of selected industry peers deemed to be comparable to the Company’s business corresponding to the expected term of the awards. The Company will continue to apply this process until an adequate amount of historical information regarding the volatility of its own stock price becomes available.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dividend yield: The expected dividend rate is zero as the Company has no history or expectation of declaring dividends on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award activity during the nine months ended September 30, 2026: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Stock Option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17,270,870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3,850,500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(1,530,980)</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18,816,169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 as of September 30, 2026</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18,816,169</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September 30,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12,304,163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there was $8.9 million of total unrecognized compensation expense expected to be recognized over a weighted-average period of 2.6 years. Aggregate intrinsic value represents the difference between the fair market value of the common stock and the exercise price of outstanding, in-the-money options.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the total stock-based compensation expense included in the Company’s condensed consolidated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expense included within cost of service revenue was not material for the three and nine months ended September 30, 2026.</w:t>
      </w:r>
    </w:p>
    <w:p>
      <w:pPr>
        <w:spacing w:after="0" w:line="167"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ind w:right="580" w:firstLine="324"/>
        <w:spacing w:after="0" w:line="261" w:lineRule="auto"/>
        <w:rPr>
          <w:sz w:val="20"/>
          <w:szCs w:val="20"/>
          <w:color w:val="auto"/>
        </w:rPr>
      </w:pPr>
      <w:r>
        <w:rPr>
          <w:rFonts w:ascii="Times New Roman" w:cs="Times New Roman" w:eastAsia="Times New Roman" w:hAnsi="Times New Roman"/>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September 30, 2026 as the Company had not yet received the related goods or services. As of September 30, 2026, the Company had open purchase commitments for goods and services of $2.4 million, of which $2.2 million are expected to be received through the next 12 months.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is obligated under certain non-cancellable operating leases for office space and laboratory space. This space includes operating leases in Seattle, Washington, San Carlos, California, and San Diego, California. The Company's operating lease in San Diego expired in 2026. The lease was replaced by a new lease that qualifies for the short-term lease exemption under ASC 842 and therefore is not recorded on the condensed consolidated balance sheet as of September 30, 2026. The letter of credit associated with the prior San Diego lease was released in the third quarter of 2026.</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future principal contractual obligations for operating lease commitments as of September 30, 2026: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Lease Obligations</w:t>
            </w:r>
          </w:p>
        </w:tc>
      </w:tr>
      <w:tr>
        <w:trPr>
          <w:trHeight w:val="23"/>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ending December 31,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and 2025, cash paid for amounts included in the measurement of operating lease liabilities included in cash flows used in operating activities was $5.1 million and $5.4 million, respectively.</w:t>
      </w:r>
    </w:p>
    <w:p>
      <w:pPr>
        <w:spacing w:after="0" w:line="10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has $0.9 million in cash-collateralized letters of credit with one financial institution in lieu of security deposits in connection with the San Carlos lease agreements.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obligations by law with respect to the actions of its employees under certain circumstances and in certain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net loss per share attributable to common stockholders for the three and nine months ended September 30, 2026 and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127,238,065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126,305,122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127,005,067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126,218,587</w:t>
            </w:r>
          </w:p>
        </w:tc>
        <w:tc>
          <w:tcPr>
            <w:tcW w:w="0" w:type="dxa"/>
            <w:vAlign w:val="bottom"/>
          </w:tcPr>
          <w:p>
            <w:pPr>
              <w:spacing w:after="0"/>
              <w:rPr>
                <w:sz w:val="1"/>
                <w:szCs w:val="1"/>
                <w:color w:val="auto"/>
              </w:rPr>
            </w:pPr>
          </w:p>
        </w:tc>
      </w:tr>
      <w:tr>
        <w:trPr>
          <w:trHeight w:val="156"/>
        </w:trPr>
        <w:tc>
          <w:tcPr>
            <w:tcW w:w="48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w:t>
            </w:r>
          </w:p>
        </w:tc>
        <w:tc>
          <w:tcPr>
            <w:tcW w:w="1120" w:type="dxa"/>
            <w:vAlign w:val="bottom"/>
          </w:tcPr>
          <w:p>
            <w:pPr>
              <w:spacing w:after="0"/>
              <w:rPr>
                <w:sz w:val="16"/>
                <w:szCs w:val="16"/>
                <w:color w:val="auto"/>
              </w:rPr>
            </w:pPr>
          </w:p>
        </w:tc>
      </w:tr>
      <w:tr>
        <w:trPr>
          <w:trHeight w:val="203"/>
        </w:trPr>
        <w:tc>
          <w:tcPr>
            <w:tcW w:w="7260" w:type="dxa"/>
            <w:vAlign w:val="bottom"/>
          </w:tcPr>
          <w:p>
            <w:pPr>
              <w:spacing w:after="0"/>
              <w:rPr>
                <w:sz w:val="17"/>
                <w:szCs w:val="17"/>
                <w:color w:val="auto"/>
              </w:rPr>
            </w:pPr>
          </w:p>
        </w:tc>
        <w:tc>
          <w:tcPr>
            <w:tcW w:w="2020" w:type="dxa"/>
            <w:vAlign w:val="bottom"/>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2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18,816,169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17,268,287</w:t>
            </w:r>
          </w:p>
        </w:tc>
      </w:tr>
      <w:tr>
        <w:trPr>
          <w:trHeight w:val="22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95,339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112,534</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potentially dilutive common share equivalents</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18,911,508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17,380,821</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is its CODM. The Company’s CODM uses consolidated net loss in assessing operating decisions, allocating resources and evaluating financial performance. Consolidated net loss is used to monitor budget versus actual results. The Company included a summary of the segment net loss, including significant segment expenses for its single reportable segment: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8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related benefits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24,109</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 and laboratory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Facilities expenses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51,413</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net loss: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Footnotes:</w:t>
      </w:r>
    </w:p>
    <w:p>
      <w:pPr>
        <w:spacing w:after="0" w:line="42" w:lineRule="exact"/>
        <w:rPr>
          <w:sz w:val="20"/>
          <w:szCs w:val="20"/>
          <w:color w:val="auto"/>
        </w:rPr>
      </w:pPr>
    </w:p>
    <w:p>
      <w:pPr>
        <w:ind w:left="480" w:right="240" w:hanging="326"/>
        <w:spacing w:after="0" w:line="241"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the Company’s single reportable segment include travel and entertainment, insurance, tax, expensed computer hardware and software, depreciation,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23" w:name="page24"/>
    <w:bookmarkEnd w:id="2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2025 and the related notes included in the Company’s Annual Report on Form 10-K filed with the SEC on February 26, 2026.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31" w:lineRule="exact"/>
        <w:rPr>
          <w:sz w:val="20"/>
          <w:szCs w:val="20"/>
          <w:color w:val="auto"/>
        </w:rPr>
      </w:pPr>
    </w:p>
    <w:p>
      <w:pPr>
        <w:ind w:right="2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Nautilus and its consolidated subsidiary.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We are a development stage life sciences company focused on creating a platform technology to quantify and unlock the complexity of the proteome. We were founded to address longstanding challenges in proteomics through the development of a new analysis method, Iterative Mapping, for the quantification of single, intact protein molecules at scale. Our mission is to transform the field of proteomics by broadening access to high-quality proteomic data and enabling fundamental advancements across human health and medicine. Iterative Mapping is designed to enable broad and deep characterization of the proteome while delivering high reproducibility through direct single-molecule counting. By repeatedly interrogating individual protein molecules and aggregating results across billions of measurements, Iterative Mapping generates digital protein counts that are intended to support consistent comparison across samples, experiments, and time. The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is designed to implement the Iterative Mapping method. The Nautilus Voyager platform integrates nanofabricated protein arrays, affinity reagent probing, advanced optics and fluidics, and machine learning–based analysis into an end-to-end workflow inclusive of instrumentation, consumables, and software.</w:t>
      </w:r>
    </w:p>
    <w:p>
      <w:pPr>
        <w:spacing w:after="0" w:line="14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Since our incorporation in 2016, we have devoted substantially all of our resources to research and development activities, including with respect to our proteomics platform, or Nautilus Voyager platform, business planning, establishing and maintaining our intellectual property portfolio, hiring personnel, raising capital and providing selling, general and administrative support for these operations. We have not generated any material revenue from our Nautilus Voyager platform or other sources since inception. Our ability to generate revenue sufficient to achieve profitability, if we ever do, would be expected to take a number of years, and will depend on the successful development and eventual commercialization of our Nautilus Voyager platform, if it ever occurs. Our Nautilus Voyager platform, which includes our end-to-end solution comprised of analysis services,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Voyager platform will be commercially viable.</w:t>
      </w:r>
    </w:p>
    <w:p>
      <w:pPr>
        <w:spacing w:after="0" w:line="13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order to commercialize our Nautilus Voyager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Voyager platform, instruments, and related consumables. Among other factors, we will need to develop reliable supply chains for the various components in our Nautilus Voyager platform, instruments, and consumables to support large-scale commercial production. In connection with our Nautilus Voyager platform, upon completion of development we intend to utilize hundreds of unique multi-affinity reagents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6"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and various standard antibodies in order to generate deep proteomic information at the speed and scale which we expect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14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in the early stages of establishing our commercial organization and distribution capabilities. During the six months ended June 30, 2026, we made our first sales hires as an initial step toward building an internal sales infrastructure, and we intend to continue expanding these capabilities to support the sales of our products. We are commercializing our Nautilus Voyager platform in phases that began with research collaborations with leading biopharmaceutical companies, academic institutions, and research organizations exploring utility of pre-commercial versions of the platform. The next phases of our strategy involve a land-and-expand strategy in which we provide customers with access to the Iterative Mapping method on the Nautilus Voyager platform for an initial application, with the expectation of, over time, adding additional applications in expanded targeted proteoform analysis and, in the future, broadscale proteomics, which customers would access depending upon their specific proteomics needs. While our development efforts continue for our broadscale assay, those efforts have not advanced sufficiently to support general availability of that assay in 2027 to our target specifications. We have identified key improvement areas, which we expect to advance broadscale performance. Due to the need for further improvements to the broadscale assay and the demand we are seeing for proteoforms from the market, we plan to reallocate resources from the broadscale effort to accelerate our proteoform application development.</w:t>
      </w:r>
    </w:p>
    <w:p>
      <w:pPr>
        <w:spacing w:after="0" w:line="13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Initial customer access to the Nautilus Voyager platform is being enabled through our Iterative Mapping Early Access Program (“Early Access Program”) in which we perform analysis and profiling of samples in our facility and such data and analysis is shared via a cloud platform. We announced the launch of our Early Access Program starting with target specific service offerings in January 2026 for the analysis of the microtubule-associated protein tau (“Tau”), which has been broadly associated with the onset and progression of Alzheimer’s disease in human patients. Our early access framework is expected to expand further to support additional targeted proteoforms assays in neuroscience and new disease areas like oncology, starting with RAC-alpha serine/threonine-protein kinase (or “AKT1”), which acts as a control hub for growth and survival signals and is a pathway active in many cancers. We do not anticipate that these early access activities will result in any material revenue. With data gained from our Early Access Program customers, we plan to leverage publications to drive awareness and customer demand to later sell instruments and reagents to select customers performing targeted proteoform research. We expect to initiate our commercial launch in early 2027 by opening the Nautilus Voyager platform for pre-orders, with instrument shipments beginning in mid 2027. At the time of these first commercial shipments, we expect general availability to include the Voyager instrument, our Tau Proteoforms assay, an AKT1 Proteoforms assay and an additional oncology proteoforms assay. As we continue expanding the platform’s assay portfolio, we concurrently expect to enable a broader diversity of sample types, including blood, which is the most prevalent sample type behind cells and tissues already enabled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Go-to-market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120015</wp:posOffset>
            </wp:positionV>
            <wp:extent cx="5143500" cy="28632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We intend to commercialize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phased commercial launch strategy for our Nautilus Voyager platform.</w:t>
      </w:r>
    </w:p>
    <w:p>
      <w:pPr>
        <w:spacing w:after="0" w:line="14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September 30, 2026, we had cash, cash equivalents and investments of $114.3 million. As of the filing of this Quarterly Report on Form 10-Q, we believe that our existing cash, cash equivalents, and investments will enable us to fund our planned operating expenses and capital expenditures through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6" w:name="page27"/>
    <w:bookmarkEnd w:id="26"/>
    <w:p>
      <w:pPr>
        <w:spacing w:after="0" w:line="140" w:lineRule="exact"/>
        <w:rPr>
          <w:sz w:val="20"/>
          <w:szCs w:val="20"/>
          <w:color w:val="auto"/>
        </w:rPr>
      </w:pPr>
    </w:p>
    <w:p>
      <w:pPr>
        <w:ind w:right="40" w:firstLine="324"/>
        <w:spacing w:after="0" w:line="244" w:lineRule="auto"/>
        <w:rPr>
          <w:sz w:val="20"/>
          <w:szCs w:val="20"/>
          <w:color w:val="auto"/>
        </w:rPr>
      </w:pPr>
      <w:r>
        <w:rPr>
          <w:rFonts w:ascii="Times New Roman" w:cs="Times New Roman" w:eastAsia="Times New Roman" w:hAnsi="Times New Roman"/>
          <w:sz w:val="18"/>
          <w:szCs w:val="18"/>
          <w:color w:val="auto"/>
        </w:rPr>
        <w:t>We have incurred significant losses since the commencement of our operations. Our net loss was $44.8 million during the nine months ended September 30, 2026, and we expect to continue to incur significant losses for the foreseeable future as we continue our research and development activities and planned commercialization of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As of September 30, 2026, we had an accumulated deficit of $376.8 million. These losses have resulted primarily from costs incurred in connection with research and development activities and to a lesser extent from selling,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Voyager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activities to develop and deliver service offerings and to establish and operate service laboratory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and expand sales, marketing and distribution capabilities for our Nautilus Voyager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increased costs related to production tooling and required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7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recent and any potential future financial institution failures, geopolitical conflicts, such as the conflicts in Eastern Europe and the Middle East, and otherwise. Our failure to obtain sufficient funds on acceptable terms, or at all,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Negative Global or National Events</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Businesses have been and will continue to be impacted by a number of challenging global and national events and circumstances that continue to evolve, including extreme weather conditions, economic uncertainty, increased tariffs, inflation, changing interest rates, any potential future financial institution failures, and geopolitical conflicts, such as the conflicts in Eastern Europe and the Middle East.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4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w:t>
      </w:r>
    </w:p>
    <w:p>
      <w:pPr>
        <w:spacing w:after="0" w:line="122"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been and continue to actively monitor our supply chain in light of these challenging global and national events and circumstances, including our third-party materials suppliers. We have, in the past, experienced some supply disruptions, including closures at certain chip manufacturers, which led to extended lead times for certain chips and lower availability of certain reagents. While certain of these disruptions have been resolved, we are continuing to monitor our supply chain and contingency planning is ongoing with our partners to reduce the possibility of an interruption to our development activities or the availability of necessary materials.</w:t>
      </w:r>
    </w:p>
    <w:p>
      <w:pPr>
        <w:spacing w:after="0" w:line="129"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ultimate impact of these global and national events and circumstances, either individually or in aggregate, is highly uncertain and subject to change. We will continue to actively monitor any developments related to these global and national events, and may take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Grant revenue is derived from activities related to a research-related grant from The Michael J. Fox Foundation and service revenue is derived from the generation and analysis of proteomic data for our Early Access Program customers, both of which commenced in the second quarter of 2026.</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 Revenue</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Cost of service revenue consists of costs incurred in performing the service, including costs of consumables. Costs also include salaries, related benefits and stock-based compensation expense for Nautilus Proteomics Analysis Services personnel, depreciation and amortization, allocated expenses for technology and facilities, and charges related to inventory reserves. Cost of service revenue is recognized in the same period as the related performance obligation is rendered.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2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and to increase our investment in research and development efforts related to our product development and grant-funded research initiatives. While we experienced certain cost savings associated with our workforce reductions implemented in the first quarter of 2025, in the future, we continue to expect research and development expenses to increase in absolute dollars as we continue to advance our product development, expand our grant-related research activities, hire additional personnel and retain existing personnel, purchase supplies and materials and allocate expense to our research and development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of salaries, related benefits, and stock-based compensation expense for personnel in executive, operations, legal, human resources, finance, marketing, commercial, IT personnel and administrative functions, professional fees for legal, patent, consulting, accounting and audit services, directors and officers insurance, allocated expenses for technology and facilities, and marketing expenses. We expense selling, general and administrative expenses in the periods in which they are incurred.</w:t>
      </w:r>
    </w:p>
    <w:p>
      <w:pPr>
        <w:spacing w:after="0" w:line="12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While we experienced certain cost savings associated with our workforce reductions implemented in the first quarter of 2025, in the future, we expect that our selling, general and administrative expenses will increase substantially over the next several years as we hire additional personnel to support the growth in research and development activities and our planned commercial growth, including sales, marketing, service, support, and distribution infrastructure. We also anticipate that we will incur higher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Other income consists of interest income on our cash, cash equivalents and investments (including accretion and amortization of discounts and premiums on marketable debt securities). Other miscellaneous non-recurring expenses such as gains or losses on disposal of property and equipment are also included.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to the Three Months Ended September 30, 2025</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condensed consolidated statements of operations for the periods indicated:</w:t>
      </w:r>
    </w:p>
    <w:p>
      <w:pPr>
        <w:spacing w:after="0" w:line="2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33655</wp:posOffset>
            </wp:positionV>
            <wp:extent cx="19545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440"/>
        <w:spacing w:after="0"/>
        <w:tabs>
          <w:tab w:leader="none" w:pos="70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33655</wp:posOffset>
            </wp:positionV>
            <wp:extent cx="19545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160"/>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11" w:lineRule="exact"/>
        <w:rPr>
          <w:sz w:val="20"/>
          <w:szCs w:val="20"/>
          <w:color w:val="auto"/>
        </w:rPr>
      </w:pPr>
    </w:p>
    <w:p>
      <w:pPr>
        <w:sectPr>
          <w:pgSz w:w="11900" w:h="16838" w:orient="portrait"/>
          <w:cols w:equalWidth="0" w:num="2">
            <w:col w:w="7800" w:space="720"/>
            <w:col w:w="27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 revenue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 revenue</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8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3"/>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1340 %</w:t>
            </w:r>
          </w:p>
        </w:tc>
      </w:tr>
      <w:tr>
        <w:trPr>
          <w:trHeight w:val="223"/>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4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Revenue was $0.2 million for the three months ended September 30, 2026, driven by grant revenue of $0.2 million related to the grant awarded from The Michael J. Fox Foundation, and service revenue of less than $0.1 million for the sales of services under the Early Access Program during the three months ended September 30, 2026.</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Service Revenue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service revenue consists of costs related to the generation and analysis of proteomic data on behalf of our Early Access Program customers.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$10.2 million for the three months ended September 30, 2026, compared to $9.6 million for the three months ended September 30, 2025, an increase of $0.6 million, or 6%. The increase was due to a $0.7 million increase in laboratory and professional services driven by higher development-related costs and a $0.3 million increase in salaries and related benefits. These increases were partially offset by a $0.2 million decrease in depreciation expense and a $0.2 million decrease in facilities expense.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$6.8 million for the three months ended September 30, 2026, compared to $5.9 million for the three months ended September 30, 2025, an increase of $0.9 million, or 15%. The increase was due to a $0.6 million increase in professional services primarily attributable to legal and marketing expenses, and a $0.4 million increase in salaries and related benefits, attributable to reduced incentive compensation costs in the prior period. These increases were partially offset by a $0.1 million decrease in facilities expense.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7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was $1.1 million for the three months ended September 30, 2026, compared to $1.9 million for the three months ended September 30, 2025, a decrease of $0.8 million, or 42%. The net decrease was primarily due to a $0.7 million decrease in interest income driven by a lower cash, cash equivalents, and investments balance as well as decreased yield rates on investments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Nine Months Ended September 30, 2026 to the Nine Months Ended September 30, 2025</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condensed consolidated statements of operations for the periods indicated:</w:t>
      </w:r>
    </w:p>
    <w:p>
      <w:pPr>
        <w:spacing w:after="0" w:line="2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19545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19545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1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11" w:lineRule="exact"/>
        <w:rPr>
          <w:sz w:val="20"/>
          <w:szCs w:val="20"/>
          <w:color w:val="auto"/>
        </w:rPr>
      </w:pPr>
    </w:p>
    <w:p>
      <w:pPr>
        <w:sectPr>
          <w:pgSz w:w="11900" w:h="16838" w:orient="portrait"/>
          <w:cols w:equalWidth="0" w:num="2">
            <w:col w:w="7700" w:space="720"/>
            <w:col w:w="28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 revenue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 revenue</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376 %</w:t>
            </w:r>
          </w:p>
        </w:tc>
      </w:tr>
      <w:tr>
        <w:trPr>
          <w:trHeight w:val="223"/>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*Percentage is not meaningful</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Revenue was $0.4 million for the nine months ended September 30, 2026, driven by grant revenue of $0.4 million related to the grant awarded from The Michael J. Fox Foundation, and service revenue of less than $0.1 million for the sales of services under the Early Access Program during the nine months ended September 30, 2026.</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Service Revenue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service revenue consists of costs related to the generation and analysis of proteomic data on behalf of our Early Access Program customers.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$29.5 million for the nine months ended September 30, 2026, compared to $31.5 million for the nine months ended September 30, 2025, a decrease of $2.0 million, or 6%. The decrease was primarily due to a $0.7 million decrease in salaries and related benefits, which was primarily driven by savings from the reduction in force implemented in the first quarter of 2025 and reduced incentive compensation costs during the period, as well as a $0.6 million decrease in stock-based compensation expense. The decrease in stock-based compensation expense is primarily driven by lower expense associated with stock options granted since the Merger and stock options granted at the time of the Merger becoming fully expensed in 2025. Also contributing to the decrease was a $0.6 million decrease in facilities expense driven by decreases in maintenance costs for our leases and the expiration of the San Diego lease and a $0.5 million decrease in depreciation expense. These decreases were partially offset by a $0.2 million increase in laboratory and professional services.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$19.5 million for the nine months ended September 30, 2026, compared to $19.9 million for the nine months ended September 30, 2025, a decrease of $0.4 million, or 2%. The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decrease was primarily due to a $1.0 million decrease in stock-based compensation expense, which was primarily driven by lower expense associated with stock options granted since the Merger and stock options granted at the time of the Merger becoming fully expensed in 2025. Also contributing to the decrease was a $0.4 million decrease in facilities expense and a $0.3 million decrease in salaries and related benefits. These decreases were partially offset by a $1.1 million increase in professional services attributable to legal, marketing and recruiting expenses.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7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was $3.8 million for the nine months ended September 30, 2026, compared to $6.2 million for the nine months ended September 30, 2025, a decrease of $2.4 million, or 38%. The net decrease was primarily due to a $2.3 million decrease in interest income driven by a lower cash, cash equivalents, and investments balance as well as decreased yield rates on investments during the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our inception, we have not generated any material revenue from product sales and have incurred significant operating losses and negative cash flows from our operations. Our net loss was $44.8 million for the nine months ended September 30, 2026. As of September 30, 2026, we had an accumulated deficit of $376.8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September 30, 2026, we had cash, cash equivalents and investments of $114.3 million.</w:t>
      </w:r>
    </w:p>
    <w:p>
      <w:pPr>
        <w:spacing w:after="0" w:line="138"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Our primary uses of cash to date have been to fund our research and development activities, business planning, establishing and maintaining our intellectual property portfolio, hiring personnel, raising capital, and providing selling, general and administrative support for these operations.</w:t>
      </w:r>
    </w:p>
    <w:p>
      <w:pPr>
        <w:spacing w:after="0" w:line="10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February 2024, we entered into a sales agreement (the “Prior Sales Agreement”) with TD Securities (USA) (f/k/a Cowen and Company, LLC) (“TD Cowen”) under which we could offer and sell up to $125.0 million of shares of our common stock from time to time through an “at the market” offering program under which TD Cowen acted as sales agent. Under the Prior Sales Agreement, we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The Prior Sales Agreement provided that TD Cowen was entitled to compensation for its services in an amount equal to up to 3.0% of the gross proceeds of all shares of common stock sold through TD Cowen under the Prior Sales Agreement. We had no obligation to sell any shares under the Prior Sales Agreement and did not sell any shares under the Prior Sales Agreement prior to its termination.</w:t>
      </w:r>
    </w:p>
    <w:p>
      <w:pPr>
        <w:spacing w:after="0" w:line="13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September 2026, we terminated the Prior Sales Agreement and entered into a new sales agreement (the “Sales Agreement”) with TD Cowen under which we may offer and sell up to $125.0 million of shares of our common stock from time to time through an “at the market” offering program under which TD Cowen will act as sales agent. Under the Sales Agreement, we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The Sales Agreement provides that TD Cowen will be entitled to compensation for its services in an amount equal to up to 3.0% of the gross proceeds of all shares of common stock sold through TD Cowen under the Sales Agreement. We have no obligation to sell any shares under the Sales Agreement and may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any time suspend solicitation and offers under the Sales Agreement. During the nine months ended September 30, 2026, we did not sell any shares of common stock pursuant to the Prior Sales Agreement or Sales Agreement.</w:t>
      </w:r>
    </w:p>
    <w:p>
      <w:pPr>
        <w:spacing w:after="0" w:line="10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shares of our common stock to be offered and sold under the Sales Agreement will be issued and sold pursuant to our shelf registration statement on Form S-3 (File No. 333-298884) (the “Shelf Registration Statement”), which was filed with the SEC on September 11, 2026, and which became effective September 18, 2026. No securities have yet been sold under the Shelf Registration Statement.</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Shelf Registration Statement will remain in effect for up to three years and allows us to sell from time to time up to $300.0 million of common stock, preferred stock, debt securities, depositary shares, warrants, subscription rights, purchase contracts or units comprised of any combination of these securities, for our own 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material revenue and we may not generate any material revenue from the sale of products or from other sources in the near future.</w:t>
      </w:r>
    </w:p>
    <w:p>
      <w:pPr>
        <w:spacing w:after="0" w:line="10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implemented a workforce reduction in the first quarter of 2025. The cost-saving initiatives resulted in reductions to personnel-related expenses during fiscal year 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we expect our expenses and capital requirements will continue to increase substantially in connection with our ongoing activities as we:</w:t>
      </w:r>
    </w:p>
    <w:p>
      <w:pPr>
        <w:spacing w:after="0" w:line="16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activities to develop and deliver service offerings and to establish and operate service laboratory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Voyager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7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of the filing of this Quarterly Report on Form 10-Q, we expect our current cash, cash equivalents, and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global and national conflicts or other disruptions; and other items affecting our forecasted level of expenditures and use of cash resources including potential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commercialization of our products, if ever, we will continue to require substantial additional capital to develop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and fund operations for the foreseeable future. We intend to obtain such capital through public or private equity offerings or debt financings (including potential sales under the Sales Agreement),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disruptions to, and volatility in, the credit and financial markets in the United States and worldwide, any potential future financial institution failures, geopolitical conflicts, such as the conflicts in Eastern Europe and the Middle East, and otherwise. Our failure to raise additional capital, if needed, would have a negative impact on our financial condition and our ability to execute our business plan.</w:t>
      </w:r>
    </w:p>
    <w:p>
      <w:pPr>
        <w:spacing w:after="0" w:line="14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including any issuances pursuant to our “at the market” equity offering program under our Sales Agreement with TD Cowen or otherwise under our Shelf Registration Statement,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2026 and 2025</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2026 and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net cash used in operating activities was $40.1 million, resulting from our net loss of $44.8 million and decrease in net changes in assets and liabilities aggregating $3.1 million. Net cash used in operating activities includes non-cash charges aggregating $7.8 million, which is driven by $3.8 million of stock-based compensation expense, $3.2 million of amortization of operating lease right-of-use assets, and $0.9 million of depreciation. These non-cash charges were partially offset by less than $0.1 million of net accretion of discounts on securities.</w:t>
      </w:r>
    </w:p>
    <w:p>
      <w:pPr>
        <w:spacing w:after="0" w:line="12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operating activities was $38.3 million, resulting from our net loss of $45.2 million and decrease in net changes in assets and liabilities aggregating $2.1 million. Net cash used in operating activities includes non-cash charges aggregating $9.0 million, which is driven by $5.4 million of stock-based compensation expense, $3.5 million of amortization of operating lease right-of-use assets, and $1.3 million of depreciation. These non-cash charges were partially offset by $1.3 million of net accretion of discounts on securities.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net cash provided by investing activities was $36.7 million, resulting from $76.6 million in proceeds from the maturities of securities, partially offset by $37.5 million in purchases of securities and $2.4 million in purchases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investing activities was $34.4 million, resulting from $74.2 million in proceeds from the maturities of securities, partially offset by $38.8 million in purchases of securities and $1.0 million in purchases of property and equipment.</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cash provided by financing activities was comprised of $1.4 million of proceeds from the exercise of stock options and issuance of common stock under the employee stock purchase plan.</w:t>
      </w:r>
    </w:p>
    <w:p>
      <w:pPr>
        <w:spacing w:after="0" w:line="10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cash provided by financing activities was comprised of $0.1 million of proceeds from the exercise of stock options and issuance of common stock under the employee stock purchase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our contractual obligations and commitments, refer to Part I, Item 1, Note 8, “Commitments and Contingencies,” in our notes to condensed consolidated financial statements in this Quarterly Report on Form 10-Q.</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34"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those disclosed in our audited financial statements as of and for the years ended December 31, 2025 and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75"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are currently a “smaller reporting company,” as defined in Item 10(f)(1) of Regulation S-K. Smaller reporting companies may take advantage of certain reduced disclosure obligations, including, among other things, providing only two years of audited financial statements, as well as reduced disclosure obligations regarding executive compensation in periodic reports and proxy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market risk exposure is primarily a result of fluctuations in interest rates and inflation. We do not hold or issue financial instruments for trading purposes.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had cash, cash equivalents and investments of $114.3 million as of September 30, 2026.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debt securities. As of September 30, 2026, the effect of a hypothetical 1.00% (100 basis point) change in interest rates would have changed the fair value of our marketable debt securities by $0.7 million. Such change would only be realized if we sold the marketable debt securities prior to maturity.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6" w:name="page37"/>
    <w:bookmarkEnd w:id="3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September 30, 2026.</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September 30, 2026 that has materially affected, or is reasonably likely to materially affect, our internal control over financial reporting.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7" w:name="page38"/>
    <w:bookmarkEnd w:id="3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not currently a party to any legal proceedings that we believe, if determined adversely to us, would individually or in the aggregate have a material adverse effect on our business, financial condition or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company, as more fully described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and uncertainties that make investing in our company risky include, among others: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5" w:lineRule="exact"/>
        <w:rPr>
          <w:sz w:val="20"/>
          <w:szCs w:val="20"/>
          <w:color w:val="auto"/>
        </w:rPr>
      </w:pPr>
    </w:p>
    <w:p>
      <w:pPr>
        <w:ind w:right="24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company that has incurred net losses in every period to date, is in the early stages of commercializing our products and/or services, and expects to continue to incur significant losses as we develop our business. We may never achieve profitability.</w:t>
      </w:r>
    </w:p>
    <w:p>
      <w:pPr>
        <w:spacing w:after="0" w:line="104" w:lineRule="exact"/>
        <w:rPr>
          <w:rFonts w:ascii="Times New Roman" w:cs="Times New Roman" w:eastAsia="Times New Roman" w:hAnsi="Times New Roman"/>
          <w:sz w:val="18"/>
          <w:szCs w:val="18"/>
          <w:color w:val="auto"/>
        </w:rPr>
      </w:pPr>
    </w:p>
    <w:p>
      <w:pPr>
        <w:ind w:right="20" w:firstLine="332"/>
        <w:spacing w:after="0" w:line="236"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entirely dependent on the successful development and commercialization of our proteomics platform (the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which remains in the development stage and has been, and could in the future be, subject to delays, technical challenges and market acceptance challenges.</w:t>
      </w:r>
    </w:p>
    <w:p>
      <w:pPr>
        <w:spacing w:after="0" w:line="14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compete successfully with our initial or future products in the highly competitive life sciences technology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third parties for certain aspects of the development and commercialization of the Nautilus Voyager platform.</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07" w:lineRule="exact"/>
        <w:rPr>
          <w:rFonts w:ascii="Times New Roman" w:cs="Times New Roman" w:eastAsia="Times New Roman" w:hAnsi="Times New Roman"/>
          <w:sz w:val="18"/>
          <w:szCs w:val="18"/>
          <w:color w:val="auto"/>
        </w:rPr>
      </w:pPr>
    </w:p>
    <w:p>
      <w:pPr>
        <w:ind w:right="22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launch our Nautilus Voyager platform successfully and even if it is successful, we may experience material delays in our commercialization program relative to current expectations.</w:t>
      </w:r>
    </w:p>
    <w:p>
      <w:pPr>
        <w:spacing w:after="0" w:line="107" w:lineRule="exact"/>
        <w:rPr>
          <w:rFonts w:ascii="Times New Roman" w:cs="Times New Roman" w:eastAsia="Times New Roman" w:hAnsi="Times New Roman"/>
          <w:sz w:val="18"/>
          <w:szCs w:val="18"/>
          <w:color w:val="auto"/>
        </w:rPr>
      </w:pPr>
    </w:p>
    <w:p>
      <w:pPr>
        <w:ind w:right="26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07"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to raise additional capital to fund our development and commercialization plans, which may not be available to us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5" w:lineRule="exact"/>
        <w:rPr>
          <w:sz w:val="20"/>
          <w:szCs w:val="20"/>
          <w:color w:val="auto"/>
        </w:rPr>
      </w:pPr>
    </w:p>
    <w:p>
      <w:pPr>
        <w:ind w:left="-40" w:right="500" w:firstLine="332"/>
        <w:spacing w:after="0" w:line="282" w:lineRule="auto"/>
        <w:tabs>
          <w:tab w:leader="none" w:pos="6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and proprietary rights throughout the world.</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175" w:lineRule="exact"/>
        <w:rPr>
          <w:sz w:val="20"/>
          <w:szCs w:val="20"/>
          <w:color w:val="auto"/>
        </w:rPr>
      </w:pPr>
    </w:p>
    <w:p>
      <w:pPr>
        <w:ind w:left="-40" w:right="40" w:firstLine="332"/>
        <w:spacing w:after="0" w:line="282" w:lineRule="auto"/>
        <w:tabs>
          <w:tab w:leader="none" w:pos="6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litigation to enforce or defend our intellectual property rights, or to defend ourselves from claims that we infringe the intellectual property rights of others.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liability and/or negative publicity for any unknown defects or errors in our products.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5" w:lineRule="exact"/>
        <w:rPr>
          <w:sz w:val="20"/>
          <w:szCs w:val="20"/>
          <w:color w:val="auto"/>
        </w:rPr>
      </w:pPr>
    </w:p>
    <w:p>
      <w:pPr>
        <w:ind w:left="620" w:hanging="32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in the future, be subject to regulation by the FDA or other regulatory authorities.</w:t>
      </w:r>
    </w:p>
    <w:p>
      <w:pPr>
        <w:spacing w:after="0" w:line="171" w:lineRule="exact"/>
        <w:rPr>
          <w:rFonts w:ascii="Times New Roman" w:cs="Times New Roman" w:eastAsia="Times New Roman" w:hAnsi="Times New Roman"/>
          <w:sz w:val="18"/>
          <w:szCs w:val="18"/>
          <w:color w:val="auto"/>
        </w:rPr>
      </w:pPr>
    </w:p>
    <w:p>
      <w:pPr>
        <w:ind w:left="-40" w:firstLine="332"/>
        <w:spacing w:after="0" w:line="312" w:lineRule="auto"/>
        <w:tabs>
          <w:tab w:leader="none" w:pos="60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currently subject to, and may in the future become subject to additional, U.S. federal and state laws and regulations, as well as the laws and regulations of other countries, relating to how we collect, store and process personal information, and how we transmit analytical data to our customers.</w:t>
      </w:r>
    </w:p>
    <w:p>
      <w:pPr>
        <w:spacing w:after="0" w:line="85" w:lineRule="exact"/>
        <w:rPr>
          <w:rFonts w:ascii="Times New Roman" w:cs="Times New Roman" w:eastAsia="Times New Roman" w:hAnsi="Times New Roman"/>
          <w:sz w:val="17"/>
          <w:szCs w:val="17"/>
          <w:color w:val="auto"/>
        </w:rPr>
      </w:pPr>
    </w:p>
    <w:p>
      <w:pPr>
        <w:ind w:left="-40" w:right="660" w:firstLine="332"/>
        <w:spacing w:after="0" w:line="282" w:lineRule="auto"/>
        <w:tabs>
          <w:tab w:leader="none" w:pos="6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07" w:lineRule="exact"/>
        <w:rPr>
          <w:rFonts w:ascii="Times New Roman" w:cs="Times New Roman" w:eastAsia="Times New Roman" w:hAnsi="Times New Roman"/>
          <w:sz w:val="18"/>
          <w:szCs w:val="18"/>
          <w:color w:val="auto"/>
        </w:rPr>
      </w:pPr>
    </w:p>
    <w:p>
      <w:pPr>
        <w:ind w:left="-40" w:right="240" w:firstLine="332"/>
        <w:spacing w:after="0" w:line="282" w:lineRule="auto"/>
        <w:tabs>
          <w:tab w:leader="none" w:pos="6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health safety laws, including any failure to comply with such laws, may result in liabilities, expenses and restrictions on our operations.</w:t>
      </w:r>
    </w:p>
    <w:p>
      <w:pPr>
        <w:spacing w:after="0" w:line="107" w:lineRule="exact"/>
        <w:rPr>
          <w:rFonts w:ascii="Times New Roman" w:cs="Times New Roman" w:eastAsia="Times New Roman" w:hAnsi="Times New Roman"/>
          <w:sz w:val="18"/>
          <w:szCs w:val="18"/>
          <w:color w:val="auto"/>
        </w:rPr>
      </w:pPr>
    </w:p>
    <w:p>
      <w:pPr>
        <w:ind w:left="-40" w:right="80" w:firstLine="332"/>
        <w:spacing w:after="0" w:line="282" w:lineRule="auto"/>
        <w:tabs>
          <w:tab w:leader="none" w:pos="6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5" w:lineRule="exact"/>
        <w:rPr>
          <w:sz w:val="20"/>
          <w:szCs w:val="20"/>
          <w:color w:val="auto"/>
        </w:rPr>
      </w:pPr>
    </w:p>
    <w:p>
      <w:pPr>
        <w:ind w:left="620" w:hanging="32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significant disruption in our information technology systems or breaches of data security.</w:t>
      </w:r>
    </w:p>
    <w:p>
      <w:pPr>
        <w:spacing w:after="0" w:line="171" w:lineRule="exact"/>
        <w:rPr>
          <w:rFonts w:ascii="Times New Roman" w:cs="Times New Roman" w:eastAsia="Times New Roman" w:hAnsi="Times New Roman"/>
          <w:sz w:val="18"/>
          <w:szCs w:val="18"/>
          <w:color w:val="auto"/>
        </w:rPr>
      </w:pPr>
    </w:p>
    <w:p>
      <w:pPr>
        <w:ind w:left="-40" w:right="420" w:firstLine="332"/>
        <w:spacing w:after="0" w:line="282" w:lineRule="auto"/>
        <w:tabs>
          <w:tab w:leader="none" w:pos="6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unable to recruit and retain key executives and scientists, we may not be able to achieve our goals.</w:t>
      </w:r>
    </w:p>
    <w:p>
      <w:pPr>
        <w:spacing w:after="0" w:line="107" w:lineRule="exact"/>
        <w:rPr>
          <w:rFonts w:ascii="Times New Roman" w:cs="Times New Roman" w:eastAsia="Times New Roman" w:hAnsi="Times New Roman"/>
          <w:sz w:val="18"/>
          <w:szCs w:val="18"/>
          <w:color w:val="auto"/>
        </w:rPr>
      </w:pPr>
    </w:p>
    <w:p>
      <w:pPr>
        <w:ind w:left="-40" w:right="320" w:firstLine="332"/>
        <w:spacing w:after="0" w:line="312" w:lineRule="auto"/>
        <w:tabs>
          <w:tab w:leader="none" w:pos="60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and financial results could be adversely impacted by global and national events, such as global geopolitical conflicts, including war, trade embargoes, tariff policies and boycotts, changing interest rates, volatility in the global financial markets and general economic downturns.</w:t>
      </w:r>
    </w:p>
    <w:p>
      <w:pPr>
        <w:spacing w:after="0" w:line="85" w:lineRule="exact"/>
        <w:rPr>
          <w:rFonts w:ascii="Times New Roman" w:cs="Times New Roman" w:eastAsia="Times New Roman" w:hAnsi="Times New Roman"/>
          <w:sz w:val="17"/>
          <w:szCs w:val="17"/>
          <w:color w:val="auto"/>
        </w:rPr>
      </w:pPr>
    </w:p>
    <w:p>
      <w:pPr>
        <w:ind w:left="620" w:hanging="32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may negatively impact the development and commercialization of our products.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5" w:lineRule="exact"/>
        <w:rPr>
          <w:sz w:val="20"/>
          <w:szCs w:val="20"/>
          <w:color w:val="auto"/>
        </w:rPr>
      </w:pPr>
    </w:p>
    <w:p>
      <w:pPr>
        <w:ind w:left="-40" w:right="4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and market for our Common Stock may be volatile, which could result in substantial losses for investors and/or an inability to readily trade in our Common Stock.</w:t>
      </w:r>
    </w:p>
    <w:p>
      <w:pPr>
        <w:spacing w:after="0" w:line="107" w:lineRule="exact"/>
        <w:rPr>
          <w:rFonts w:ascii="Times New Roman" w:cs="Times New Roman" w:eastAsia="Times New Roman" w:hAnsi="Times New Roman"/>
          <w:sz w:val="18"/>
          <w:szCs w:val="18"/>
          <w:color w:val="auto"/>
        </w:rPr>
      </w:pPr>
    </w:p>
    <w:p>
      <w:pPr>
        <w:ind w:left="-40" w:right="14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39" w:name="page40"/>
    <w:bookmarkEnd w:id="39"/>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significant costs and management resources as a result of operating as a public company.</w:t>
      </w:r>
    </w:p>
    <w:p>
      <w:pPr>
        <w:spacing w:after="0" w:line="171"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shares.</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10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that has incurred net losses in every period to date, is in the early stages of commercializing our products and/or services, and expects to continue to incur significant losses as we develop our business. We may never achieve profitability.</w:t>
      </w:r>
    </w:p>
    <w:p>
      <w:pPr>
        <w:spacing w:after="0" w:line="105"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7"/>
          <w:szCs w:val="17"/>
          <w:color w:val="auto"/>
        </w:rPr>
        <w:t>We are a development stage company that has incurred net losses in each quarterly and annual period since inception and that has not yet generated any material revenue. We expect to incur increasing costs as we continue to devote substantially all of our resources towards the development and commercialization of our Nautilus Voyager</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platform, which includes our end-to-end solution comprised of analysis services, instruments, consumables, and software analysis. We cannot be certain if we will ever generate material revenue or if or when we will produce sufficient revenue from operations to support our costs. Even if profitability is achieved, we may not be able to sustain profitability. We incurred net losses of $15.6 million and $44.8 million during the three and nine months ended September 30, 2026, respectively and $13.6 million and $45.2 million during the three and nine months ended September 30, 2025, respectively. As of September 30, 2026, we had an accumulated deficit of $376.8 million. These losses and accumulated deficit were primarily due to the substantial investments we made in the scientific and technological development of our Nautilus Voyager platform. We expect to incur substantial losses and negative cash flows for the foreseeable future. In addition, as a public company, we will continue to incur significant legal, accounting, and other expenses. These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20" w:lineRule="exact"/>
        <w:rPr>
          <w:sz w:val="20"/>
          <w:szCs w:val="20"/>
          <w:color w:val="auto"/>
        </w:rPr>
      </w:pPr>
    </w:p>
    <w:p>
      <w:pPr>
        <w:ind w:right="120" w:firstLine="324"/>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Our business is entirely dependent on the success of our Nautilus Voyager</w:t>
      </w:r>
      <w:r>
        <w:rPr>
          <w:rFonts w:ascii="Times New Roman" w:cs="Times New Roman" w:eastAsia="Times New Roman" w:hAnsi="Times New Roman"/>
          <w:sz w:val="23"/>
          <w:szCs w:val="23"/>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platform, which remains in the development stage and subject to scientific and technical validation. If we are unable to develop and commercialize our Nautilus Voyager</w:t>
      </w:r>
      <w:r>
        <w:rPr>
          <w:rFonts w:ascii="Times New Roman" w:cs="Times New Roman" w:eastAsia="Times New Roman" w:hAnsi="Times New Roman"/>
          <w:sz w:val="23"/>
          <w:szCs w:val="23"/>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platform successfully and in a manner that provides currently anticipated functionality and levels of performance, we may never be able to recognize any material revenue, and our business, operating results, and financial condition will suffer.</w:t>
      </w:r>
    </w:p>
    <w:p>
      <w:pPr>
        <w:spacing w:after="0" w:line="14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future success is entirely dependent on our ability to successfully develop and commercialize our Nautilus Voyager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Voyager platform, which remains in the development stage and subject to scientific and technical validation. Development challenges have, and may in the future continue to cause delays in or inhibit our ability to commercialize our platform assays in one or more application areas.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Voyager platform to comprehensively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14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and services fail to deliver currently anticipated functionality and levels of performance in commercially valuable applications, if our products and/or services are found by a court of law to infringe the intellectual property of another party, or if we are unable to obtain broad scientific and market acceptance of our products, services and technologies, we may never recognize material revenue and may be unable to continue our operations.</w:t>
      </w:r>
    </w:p>
    <w:p>
      <w:pPr>
        <w:spacing w:after="0" w:line="107" w:lineRule="exact"/>
        <w:rPr>
          <w:sz w:val="20"/>
          <w:szCs w:val="20"/>
          <w:color w:val="auto"/>
        </w:rPr>
      </w:pPr>
    </w:p>
    <w:p>
      <w:pPr>
        <w:jc w:val="both"/>
        <w:ind w:right="700" w:firstLine="324"/>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We have not yet commercially launched our Nautilus Voyager</w:t>
      </w:r>
      <w:r>
        <w:rPr>
          <w:rFonts w:ascii="Times New Roman" w:cs="Times New Roman" w:eastAsia="Times New Roman" w:hAnsi="Times New Roman"/>
          <w:sz w:val="22"/>
          <w:szCs w:val="22"/>
          <w:b w:val="1"/>
          <w:bCs w:val="1"/>
          <w:i w:val="1"/>
          <w:iCs w:val="1"/>
          <w:color w:val="auto"/>
          <w:vertAlign w:val="superscript"/>
        </w:rPr>
        <w:t>TM</w:t>
      </w:r>
      <w:r>
        <w:rPr>
          <w:rFonts w:ascii="Times New Roman" w:cs="Times New Roman" w:eastAsia="Times New Roman" w:hAnsi="Times New Roman"/>
          <w:sz w:val="17"/>
          <w:szCs w:val="17"/>
          <w:b w:val="1"/>
          <w:bCs w:val="1"/>
          <w:i w:val="1"/>
          <w:iCs w:val="1"/>
          <w:color w:val="auto"/>
        </w:rPr>
        <w:t xml:space="preserve"> platform. We may not be able to launch our Nautilus Voyager</w:t>
      </w:r>
      <w:r>
        <w:rPr>
          <w:rFonts w:ascii="Times New Roman" w:cs="Times New Roman" w:eastAsia="Times New Roman" w:hAnsi="Times New Roman"/>
          <w:sz w:val="22"/>
          <w:szCs w:val="22"/>
          <w:b w:val="1"/>
          <w:bCs w:val="1"/>
          <w:i w:val="1"/>
          <w:iCs w:val="1"/>
          <w:color w:val="auto"/>
          <w:vertAlign w:val="superscript"/>
        </w:rPr>
        <w:t>TM</w:t>
      </w:r>
      <w:r>
        <w:rPr>
          <w:rFonts w:ascii="Times New Roman" w:cs="Times New Roman" w:eastAsia="Times New Roman" w:hAnsi="Times New Roman"/>
          <w:sz w:val="17"/>
          <w:szCs w:val="17"/>
          <w:b w:val="1"/>
          <w:bCs w:val="1"/>
          <w:i w:val="1"/>
          <w:iCs w:val="1"/>
          <w:color w:val="auto"/>
        </w:rPr>
        <w:t xml:space="preserve"> platform successfully and even if it is successful, we may experience material delays in our commercialization program relative to current expectations.</w:t>
      </w:r>
    </w:p>
    <w:p>
      <w:pPr>
        <w:spacing w:after="0" w:line="129" w:lineRule="exact"/>
        <w:rPr>
          <w:sz w:val="20"/>
          <w:szCs w:val="20"/>
          <w:color w:val="auto"/>
        </w:rPr>
      </w:pPr>
    </w:p>
    <w:p>
      <w:pPr>
        <w:ind w:firstLine="324"/>
        <w:spacing w:after="0" w:line="246" w:lineRule="auto"/>
        <w:rPr>
          <w:sz w:val="20"/>
          <w:szCs w:val="20"/>
          <w:color w:val="auto"/>
        </w:rPr>
      </w:pPr>
      <w:r>
        <w:rPr>
          <w:rFonts w:ascii="Times New Roman" w:cs="Times New Roman" w:eastAsia="Times New Roman" w:hAnsi="Times New Roman"/>
          <w:sz w:val="18"/>
          <w:szCs w:val="18"/>
          <w:color w:val="auto"/>
        </w:rPr>
        <w:t>We are commercializing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in phases that began with research collaborations with leading biopharmaceutical companies, academic institutions, and research organizations exploring utility of pre-commercial versions of the platform. The next phases of our strategy involve a land-and-expand strategy in which we provide customers with access to the Iterative Mapping method on the Nautilus Voyager platform for an initial application, with the expectation of, over time, adding additional applications in expanded targeted proteoform analysis and, in the future, broadscale proteomics, which customers would access depending upon their specific proteomics needs. While our development efforts continue for our broadscale assay, those efforts have not advanced sufficiently to support general availability of that assay in 2027 to our target specifications. We have identified key improvement areas, which we expect to advance broadscale performance. Due to the need for further improvements to the broadscale assay and the demand we are seeing for proteoforms from the market, we plan to reallocate resources from the broadscale effort to accelerate our proteoform application development.</w:t>
      </w:r>
    </w:p>
    <w:p>
      <w:pPr>
        <w:spacing w:after="0" w:line="14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Initial customer access to the Nautilus Voyager platform is being enabled through our Iterative Mapping Early Access Program (“Early Access Program”) in which we perform analysis and profiling of samples in our facility and such data and analysis is shared via a cloud platform. We announced the launch of our Early Access Program starting with target specific service offerings in January 2026 for the analysis of the microtubule-associated protein tau (“Tau”), which has been broadly associated with the onset and progression of Alzheimer’s disease in human patients. Our early access framework is expected to expand further to support additional targeted proteoforms assays in neuroscience and new disease areas like oncology, starting with RAC-alpha serine/threonine-protein kinase (or “AKT1”), which acts as a control hub for growth and survival signals and is a pathway active in many cancers. We do not anticipate that these early access activities will result in any material revenue. With data gained from our Early Access Program customers, we plan to leverage publications to drive awareness and customer demand to later sell instruments and reagents to select customers performing targeted proteoform research. We expect to initiate our commercial launch in early 2027 by opening the Nautilus Voyager platform for pre-orders, with instrument shipments beginning in mid 2027. At the time of these first commercial shipments, we expect general availability to include the Voyager instrument, our Tau Proteoforms assay, an AKT1 Proteoforms assay and an additional oncology proteoforms assay. As we continue expanding the platform’s assay portfolio, we concurrently expect to enable a broader diversity of sample types, including blood, which is the most prevalent sample type behind cells and tissues already enabled today.</w:t>
      </w:r>
    </w:p>
    <w:p>
      <w:pPr>
        <w:spacing w:after="0" w:line="13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that they will be completed within the timelines currently anticipated, or that they will result in increased customer interest in our products and/or services. Given the scientific and technical complexity of our products and services, we could experience material delays in product development and commercial launch. In addition, if we are not able to supplement our initial platform release with subsequent consumable releases to enable our platform to meet or exceed our previously announced product specifications or achieve expanded capabilities, we may lose customers or be limited in our ability to achieve market adoption. If our research and product development efforts do not result in commercially viable products and/or services within the anticipated timelines or if such products do not generate the interest in the market that we anticipate, our business, operating results, and financial condition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36"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26" w:lineRule="exact"/>
        <w:rPr>
          <w:sz w:val="20"/>
          <w:szCs w:val="20"/>
          <w:color w:val="auto"/>
        </w:rPr>
      </w:pPr>
    </w:p>
    <w:p>
      <w:pPr>
        <w:ind w:right="100" w:firstLine="324"/>
        <w:spacing w:after="0" w:line="243" w:lineRule="auto"/>
        <w:rPr>
          <w:sz w:val="20"/>
          <w:szCs w:val="20"/>
          <w:color w:val="auto"/>
        </w:rPr>
      </w:pPr>
      <w:r>
        <w:rPr>
          <w:rFonts w:ascii="Times New Roman" w:cs="Times New Roman" w:eastAsia="Times New Roman" w:hAnsi="Times New Roman"/>
          <w:sz w:val="18"/>
          <w:szCs w:val="18"/>
          <w:color w:val="auto"/>
        </w:rPr>
        <w:t>As noted above, establishing collaborations and partnerships with large pharmaceutical and biotechnology companies and with major research institutions is a material element of our commercialization strategy. While early collaborations have focused, and are expected to continue to focus on the assessment and validation of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Voyager platform.</w:t>
      </w:r>
    </w:p>
    <w:p>
      <w:pPr>
        <w:spacing w:after="0" w:line="14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Even if we are successful in entering into collaborations, the success of such collaborations will depend heavily on the efforts and activities of our collaborators.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a specific project;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products or may elect not to continue or renew development or</w:t>
      </w:r>
    </w:p>
    <w:p>
      <w:pPr>
        <w:spacing w:after="0" w:line="27" w:lineRule="exact"/>
        <w:rPr>
          <w:rFonts w:ascii="Times New Roman" w:cs="Times New Roman" w:eastAsia="Times New Roman" w:hAnsi="Times New Roman"/>
          <w:sz w:val="18"/>
          <w:szCs w:val="18"/>
          <w:color w:val="auto"/>
        </w:rPr>
      </w:pPr>
    </w:p>
    <w:p>
      <w:pPr>
        <w:ind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27"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07"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07"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71" w:lineRule="exact"/>
        <w:rPr>
          <w:rFonts w:ascii="Times New Roman" w:cs="Times New Roman" w:eastAsia="Times New Roman" w:hAnsi="Times New Roman"/>
          <w:sz w:val="18"/>
          <w:szCs w:val="18"/>
          <w:color w:val="auto"/>
        </w:rPr>
      </w:pPr>
    </w:p>
    <w:p>
      <w:pPr>
        <w:ind w:firstLine="332"/>
        <w:spacing w:after="0" w:line="266" w:lineRule="auto"/>
        <w:tabs>
          <w:tab w:leader="none" w:pos="6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2" w:name="page43"/>
    <w:bookmarkEnd w:id="42"/>
    <w:p>
      <w:pPr>
        <w:spacing w:after="0" w:line="140" w:lineRule="exact"/>
        <w:rPr>
          <w:sz w:val="20"/>
          <w:szCs w:val="20"/>
          <w:color w:val="auto"/>
        </w:rPr>
      </w:pPr>
    </w:p>
    <w:p>
      <w:pPr>
        <w:ind w:right="600" w:firstLine="332"/>
        <w:spacing w:after="0" w:line="282" w:lineRule="auto"/>
        <w:tabs>
          <w:tab w:leader="none" w:pos="6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07"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07" w:lineRule="exact"/>
        <w:rPr>
          <w:rFonts w:ascii="Times New Roman" w:cs="Times New Roman" w:eastAsia="Times New Roman" w:hAnsi="Times New Roman"/>
          <w:sz w:val="18"/>
          <w:szCs w:val="18"/>
          <w:color w:val="auto"/>
        </w:rPr>
      </w:pPr>
    </w:p>
    <w:p>
      <w:pPr>
        <w:ind w:right="400" w:firstLine="332"/>
        <w:spacing w:after="0" w:line="282" w:lineRule="auto"/>
        <w:tabs>
          <w:tab w:leader="none" w:pos="6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0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18" w:lineRule="exact"/>
        <w:rPr>
          <w:sz w:val="20"/>
          <w:szCs w:val="20"/>
          <w:color w:val="auto"/>
        </w:rPr>
      </w:pPr>
    </w:p>
    <w:p>
      <w:pPr>
        <w:ind w:right="160" w:firstLine="324"/>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complete development of our Nautilus Voyager</w:t>
      </w:r>
      <w:r>
        <w:rPr>
          <w:rFonts w:ascii="Times New Roman" w:cs="Times New Roman" w:eastAsia="Times New Roman" w:hAnsi="Times New Roman"/>
          <w:sz w:val="23"/>
          <w:szCs w:val="23"/>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platform, we may not achieve or maintain significant commercial market acceptance.</w:t>
      </w:r>
    </w:p>
    <w:p>
      <w:pPr>
        <w:spacing w:after="0" w:line="142"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Even if we are able to complete development of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Voyager platform relative to existing technologies and to validate our Nautilus Voyager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Voyager platform takes longer than anticipated or does not occur, our business will be materially and adversely affected.</w:t>
      </w:r>
    </w:p>
    <w:p>
      <w:pPr>
        <w:spacing w:after="0" w:line="14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Voyager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marketing and engagement initiatives to increase awareness of the capabilities of our Nautilus Voyager platform;</w:t>
      </w:r>
    </w:p>
    <w:p>
      <w:pPr>
        <w:spacing w:after="0" w:line="171" w:lineRule="exact"/>
        <w:rPr>
          <w:rFonts w:ascii="Times New Roman" w:cs="Times New Roman" w:eastAsia="Times New Roman" w:hAnsi="Times New Roman"/>
          <w:sz w:val="18"/>
          <w:szCs w:val="18"/>
          <w:color w:val="auto"/>
        </w:rPr>
      </w:pPr>
    </w:p>
    <w:p>
      <w:pPr>
        <w:ind w:right="20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Nautilus Voyager platform to demonstrate reliable performance in intended use applications, in particular, when the platform is used by customers in their own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ind w:right="760" w:firstLine="332"/>
        <w:spacing w:after="0" w:line="230"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that the functionality and performance of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relative to alternative products and technologies justifies the substantial anticipated cost of the platform;</w:t>
      </w:r>
    </w:p>
    <w:p>
      <w:pPr>
        <w:spacing w:after="0" w:line="1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prospective customers to adopt new products and workflows;</w:t>
      </w:r>
    </w:p>
    <w:p>
      <w:pPr>
        <w:spacing w:after="0" w:line="171" w:lineRule="exact"/>
        <w:rPr>
          <w:rFonts w:ascii="Times New Roman" w:cs="Times New Roman" w:eastAsia="Times New Roman" w:hAnsi="Times New Roman"/>
          <w:sz w:val="18"/>
          <w:szCs w:val="18"/>
          <w:color w:val="auto"/>
        </w:rPr>
      </w:pPr>
    </w:p>
    <w:p>
      <w:pPr>
        <w:ind w:right="96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Nautilus Voyager platform and whether it reliably provides significant advantages over alternative products and technologies;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value and customer acceptance of Nautilus’ targeted proteoform analysis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Nautilus Voyager platform by biopharmaceutical companies, laboratories, academic institutions and others;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Voyager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workflows, and solutions that meet customer requirements;</w:t>
      </w:r>
    </w:p>
    <w:p>
      <w:pPr>
        <w:spacing w:after="0" w:line="171" w:lineRule="exact"/>
        <w:rPr>
          <w:rFonts w:ascii="Times New Roman" w:cs="Times New Roman" w:eastAsia="Times New Roman" w:hAnsi="Times New Roman"/>
          <w:sz w:val="18"/>
          <w:szCs w:val="18"/>
          <w:color w:val="auto"/>
        </w:rPr>
      </w:pPr>
    </w:p>
    <w:p>
      <w:pPr>
        <w:ind w:right="20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development and commercialization by competitors of new products or enhancements to existing products with functionality and/or performance similar to our Nautilus Voyager platform;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7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Voyager platform, our business, financial condition and results of operations would be adversely affected.</w:t>
      </w:r>
    </w:p>
    <w:p>
      <w:pPr>
        <w:spacing w:after="0" w:line="118" w:lineRule="exact"/>
        <w:rPr>
          <w:sz w:val="20"/>
          <w:szCs w:val="20"/>
          <w:color w:val="auto"/>
        </w:rPr>
      </w:pPr>
    </w:p>
    <w:p>
      <w:pPr>
        <w:ind w:right="40" w:firstLine="324"/>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Voyager</w:t>
      </w:r>
      <w:r>
        <w:rPr>
          <w:rFonts w:ascii="Times New Roman" w:cs="Times New Roman" w:eastAsia="Times New Roman" w:hAnsi="Times New Roman"/>
          <w:sz w:val="23"/>
          <w:szCs w:val="23"/>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platform would be delayed, which would result in lost revenue and harm our business.</w:t>
      </w:r>
    </w:p>
    <w:p>
      <w:pPr>
        <w:spacing w:after="0" w:line="14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order for us to commercialize our Nautilus Voyager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Voyager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Voyager platform, we may utilize long lead time instrument system components, such as cameras and lasers, and as a result, it may impact our ability to consistently source such components. Additionally, we intend to utilize hundreds of unique multi-affinity reagents and various standard antibodies in order to generate deep proteomic information at the speed and scale which we expect our Nautilus Voyager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Voyager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36"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Voyager</w:t>
      </w:r>
      <w:r>
        <w:rPr>
          <w:rFonts w:ascii="Times New Roman" w:cs="Times New Roman" w:eastAsia="Times New Roman" w:hAnsi="Times New Roman"/>
          <w:sz w:val="23"/>
          <w:szCs w:val="23"/>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platform.</w:t>
      </w:r>
    </w:p>
    <w:p>
      <w:pPr>
        <w:spacing w:after="0" w:line="33"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We are only beginning to establish an internal organization focused specifically on the commercialization of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Voyager platform. Accordingly, these initiatives will adversely affect our operating expenses prior to us having material off-setting revenue, if any.</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develop these functions successfully, we will face a number of additional risks, including:</w:t>
      </w:r>
    </w:p>
    <w:p>
      <w:pPr>
        <w:spacing w:after="0" w:line="171" w:lineRule="exact"/>
        <w:rPr>
          <w:sz w:val="20"/>
          <w:szCs w:val="20"/>
          <w:color w:val="auto"/>
        </w:rPr>
      </w:pPr>
    </w:p>
    <w:p>
      <w:pPr>
        <w:ind w:right="40" w:firstLine="332"/>
        <w:spacing w:after="0" w:line="266" w:lineRule="auto"/>
        <w:tabs>
          <w:tab w:leader="none" w:pos="6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Voyager platform may not gain market acceptance, which could materially impact our business and results of operations.</w:t>
      </w:r>
    </w:p>
    <w:p>
      <w:pPr>
        <w:spacing w:after="0" w:line="126" w:lineRule="exact"/>
        <w:rPr>
          <w:sz w:val="20"/>
          <w:szCs w:val="20"/>
          <w:color w:val="auto"/>
        </w:rPr>
      </w:pPr>
    </w:p>
    <w:p>
      <w:pPr>
        <w:ind w:right="400" w:firstLine="324"/>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our Nautilus Voyager</w:t>
      </w:r>
      <w:r>
        <w:rPr>
          <w:rFonts w:ascii="Times New Roman" w:cs="Times New Roman" w:eastAsia="Times New Roman" w:hAnsi="Times New Roman"/>
          <w:sz w:val="23"/>
          <w:szCs w:val="23"/>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platform may be smaller than estimated, and new market opportunities may not develop as quickly as we expect, or at all, limiting our ability to successfully sell our products.</w:t>
      </w:r>
    </w:p>
    <w:p>
      <w:pPr>
        <w:spacing w:after="0" w:line="146"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The market for proteomics technologies and products is evolving, making it difficult to predict with any accuracy the size of the markets for our current and future products, including our Nautilus Voyager platform. Our estimates of the total addressable market for our current and future products, including with respect to the proteomics market, the diagnostic market, and the mass spectrometry market, are based on a number of internal and third-party estimates and assumptions, as well as assumptions about the specifications and functionality of our Nautilus Voyager platform to address such demand.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3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develop more slowly or differently. In addition,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may not impact the field of proteomics in the same manner or degree, or within the same time frame, that NGS technologies have impacted the field of genomics, or at all, including as a result of development challenges that we have faced and continue to face that may delay or inhibit our ability to commercialize our platform assays in one or more application areas.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4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18" w:lineRule="exact"/>
        <w:rPr>
          <w:sz w:val="20"/>
          <w:szCs w:val="20"/>
          <w:color w:val="auto"/>
        </w:rPr>
      </w:pPr>
    </w:p>
    <w:p>
      <w:pPr>
        <w:ind w:right="220" w:firstLine="324"/>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single source suppliers for some of the components and materials used in our Nautilus Voyager</w:t>
      </w:r>
      <w:r>
        <w:rPr>
          <w:rFonts w:ascii="Times New Roman" w:cs="Times New Roman" w:eastAsia="Times New Roman" w:hAnsi="Times New Roman"/>
          <w:sz w:val="23"/>
          <w:szCs w:val="23"/>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platform, and the loss of any of these suppliers could harm our business.</w:t>
      </w:r>
    </w:p>
    <w:p>
      <w:pPr>
        <w:spacing w:after="0" w:line="14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rely on single source suppliers for certain components and materials used in our Nautilus Voyager platform.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each component of our Nautilus Voyager platform for which we expect to employ such third party manufacturers,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Voyager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operations will suffer.</w:t>
      </w:r>
    </w:p>
    <w:p>
      <w:pPr>
        <w:spacing w:after="0" w:line="17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technology and diagnostic companies that supply components, products, and services to customers engaged in proteomics analysis. Major competitors include Thermo Fisher Scientific (including Olink); Bruker Corporation; Agilent Technologies; Danaher (SCIEX); Becton, Dickinson and Company; Quanterix; and Illumina, Inc. (through its acquisition of the former Somalogic business from Standard Biotools Inc.). We also compete with a number of emerging companies that are developing proteomic products and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enjoy a number of competitive advantages over us, including:</w:t>
      </w:r>
    </w:p>
    <w:p>
      <w:pPr>
        <w:spacing w:after="0" w:line="10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Additionally, the merger or consolidation of significant competitors would result in competitors with greater resources, which may enable them to offer a different market approach, or a lower cost structure through economies of scale or other efficiencies that we may be unable to match and which may intensify competition. Further, our competitors may seek to vertically integrate by buying suppliers that also supply products or components to us, which could enable them to further reduce prices, or could increase our costs. Any failure to compete effectively could materially and adversely affect our business, financial condition and operating results.</w:t>
      </w:r>
    </w:p>
    <w:p>
      <w:pPr>
        <w:spacing w:after="0" w:line="127" w:lineRule="exact"/>
        <w:rPr>
          <w:sz w:val="20"/>
          <w:szCs w:val="20"/>
          <w:color w:val="auto"/>
        </w:rPr>
      </w:pPr>
    </w:p>
    <w:p>
      <w:pPr>
        <w:ind w:right="620" w:firstLine="324"/>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Even if our Nautilus Voyager</w:t>
      </w:r>
      <w:r>
        <w:rPr>
          <w:rFonts w:ascii="Times New Roman" w:cs="Times New Roman" w:eastAsia="Times New Roman" w:hAnsi="Times New Roman"/>
          <w:sz w:val="23"/>
          <w:szCs w:val="23"/>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platform is commercialized and achieves broad scientific and market acceptance, if we fail to improve it or introduce compelling new products, our revenue and our prospects could be harmed.</w:t>
      </w:r>
    </w:p>
    <w:p>
      <w:pPr>
        <w:spacing w:after="0" w:line="146"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The life sciences industry is characterized by rapid and significant technological changes, frequent new product introductions and enhancements and evolving industry standards. Even if we are able to commercialize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with respect to both targeted proteoform analysis and eventually broadscale proteomics analysis, and achieve broad scientific and market acceptance, our ability to attract new customers and increase revenue from existing customers will depend in large part on our ability to enhance and improve our Nautilus Voyager platform and to introduce compelling new products. The success of any enhancement to our Nautilus Voyager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Voyager platform that we develop may not be introduced in a timely or cost-effective manner, may contain defects, errors, vulnerabilities or bugs, or may not achieve the market acceptance necessary to generate significant revenue.</w:t>
      </w:r>
    </w:p>
    <w:p>
      <w:pPr>
        <w:spacing w:after="0" w:line="146"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7"/>
          <w:szCs w:val="17"/>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requirements, compete with alternative products, or otherwise gain and maintain market acceptance, our business, results of operations and financial condition could be harmed.</w:t>
      </w:r>
    </w:p>
    <w:p>
      <w:pPr>
        <w:spacing w:after="0" w:line="100" w:lineRule="exact"/>
        <w:rPr>
          <w:sz w:val="20"/>
          <w:szCs w:val="20"/>
          <w:color w:val="auto"/>
        </w:rPr>
      </w:pPr>
    </w:p>
    <w:p>
      <w:pPr>
        <w:ind w:right="320" w:firstLine="324"/>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for development of certain aspects of the Nautilus Voyager</w:t>
      </w:r>
      <w:r>
        <w:rPr>
          <w:rFonts w:ascii="Times New Roman" w:cs="Times New Roman" w:eastAsia="Times New Roman" w:hAnsi="Times New Roman"/>
          <w:sz w:val="22"/>
          <w:szCs w:val="22"/>
          <w:b w:val="1"/>
          <w:bCs w:val="1"/>
          <w:i w:val="1"/>
          <w:iCs w:val="1"/>
          <w:color w:val="auto"/>
          <w:vertAlign w:val="superscript"/>
        </w:rPr>
        <w:t>TM</w:t>
      </w:r>
      <w:r>
        <w:rPr>
          <w:rFonts w:ascii="Times New Roman" w:cs="Times New Roman" w:eastAsia="Times New Roman" w:hAnsi="Times New Roman"/>
          <w:sz w:val="17"/>
          <w:szCs w:val="17"/>
          <w:b w:val="1"/>
          <w:bCs w:val="1"/>
          <w:i w:val="1"/>
          <w:iCs w:val="1"/>
          <w:color w:val="auto"/>
        </w:rPr>
        <w:t xml:space="preserve"> platform, and any failure of these third parties to perform their respective obligations in a timely manner or to our specifications could negatively impact our timelines, costs or product performance.</w:t>
      </w:r>
    </w:p>
    <w:p>
      <w:pPr>
        <w:spacing w:after="0" w:line="129"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We are engaged with a number of third party collaborators who assist us in co-development of certain aspects of the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including, for example, certain affinity reagents and array chip substrates. Our agreements with these third party collaborators include obligations for these third parties to deliver certain aspects of technology to be used in the Nautilus Voyager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Voyager platform, its performance, or its cost.</w:t>
      </w:r>
    </w:p>
    <w:p>
      <w:pPr>
        <w:spacing w:after="0" w:line="136"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expect that our revenue in the foreseeable future will be derived primarily from sales of our Nautilus Voyager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Voyager platform. These reductions and delays may result from factors that are not within our control, such as:</w:t>
      </w:r>
    </w:p>
    <w:p>
      <w:pPr>
        <w:spacing w:after="0" w:line="13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including any reductions in funding to the U.S. National Institutes of Health;</w:t>
      </w:r>
    </w:p>
    <w:p>
      <w:pPr>
        <w:spacing w:after="0" w:line="171"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recessionary effects, inflationary pressures and volatility in the global financial markets, including with respect to any future financial institution failures;</w:t>
      </w:r>
    </w:p>
    <w:p>
      <w:pPr>
        <w:spacing w:after="0" w:line="107" w:lineRule="exact"/>
        <w:rPr>
          <w:rFonts w:ascii="Times New Roman" w:cs="Times New Roman" w:eastAsia="Times New Roman" w:hAnsi="Times New Roman"/>
          <w:sz w:val="18"/>
          <w:szCs w:val="18"/>
          <w:color w:val="auto"/>
        </w:rPr>
      </w:pPr>
    </w:p>
    <w:p>
      <w:pPr>
        <w:ind w:right="120" w:firstLine="332"/>
        <w:spacing w:after="0" w:line="282" w:lineRule="auto"/>
        <w:tabs>
          <w:tab w:leader="none" w:pos="6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that may indirectly impact research institutions’ ability to allocate funds to different areas of research;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affecting life science and Ag-Bio companies engaged in research and commercial activities;</w:t>
      </w:r>
    </w:p>
    <w:p>
      <w:pPr>
        <w:spacing w:after="0" w:line="169" w:lineRule="exact"/>
        <w:rPr>
          <w:rFonts w:ascii="Times New Roman" w:cs="Times New Roman" w:eastAsia="Times New Roman" w:hAnsi="Times New Roman"/>
          <w:sz w:val="18"/>
          <w:szCs w:val="18"/>
          <w:color w:val="auto"/>
        </w:rPr>
      </w:pPr>
    </w:p>
    <w:p>
      <w:pPr>
        <w:ind w:right="260" w:firstLine="332"/>
        <w:spacing w:after="0" w:line="284" w:lineRule="auto"/>
        <w:tabs>
          <w:tab w:leader="none" w:pos="6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availability of AI and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based research and development approaches, such as in drug discovery, that could impact funding allocations for R&amp;D in the pharmaceutical and biotechnology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 cycles across various geographies and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on companies to consolidate operations and reduce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in the life science and Ag-Bio industries;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affecting research and development spending.</w:t>
      </w:r>
    </w:p>
    <w:p>
      <w:pPr>
        <w:spacing w:after="0" w:line="171"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04"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5" w:lineRule="exact"/>
        <w:rPr>
          <w:sz w:val="20"/>
          <w:szCs w:val="20"/>
          <w:color w:val="auto"/>
        </w:rPr>
      </w:pPr>
    </w:p>
    <w:p>
      <w:pPr>
        <w:ind w:right="40" w:firstLine="324"/>
        <w:spacing w:after="0" w:line="235"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commercialization of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specific factors that may result in fluctuations include, without limitation:</w:t>
      </w:r>
    </w:p>
    <w:p>
      <w:pPr>
        <w:spacing w:after="0" w:line="146" w:lineRule="exact"/>
        <w:rPr>
          <w:sz w:val="20"/>
          <w:szCs w:val="20"/>
          <w:color w:val="auto"/>
        </w:rPr>
      </w:pPr>
    </w:p>
    <w:p>
      <w:pPr>
        <w:ind w:right="320" w:firstLine="332"/>
        <w:spacing w:after="0" w:line="282" w:lineRule="auto"/>
        <w:tabs>
          <w:tab w:leader="none" w:pos="6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our Nautilus Voyager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and successfully maintain appropriate collaborations and derive revenue from those collaborations;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governmental investigations involving us, our industry or both; and</w:t>
      </w:r>
    </w:p>
    <w:p>
      <w:pPr>
        <w:spacing w:after="0" w:line="171" w:lineRule="exact"/>
        <w:rPr>
          <w:rFonts w:ascii="Times New Roman" w:cs="Times New Roman" w:eastAsia="Times New Roman" w:hAnsi="Times New Roman"/>
          <w:sz w:val="18"/>
          <w:szCs w:val="18"/>
          <w:color w:val="auto"/>
        </w:rPr>
      </w:pPr>
    </w:p>
    <w:p>
      <w:pPr>
        <w:ind w:right="820" w:firstLine="332"/>
        <w:spacing w:after="0" w:line="282" w:lineRule="auto"/>
        <w:tabs>
          <w:tab w:leader="none" w:pos="6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our Nautilus Voyager platform on our anticipated timeline and with our expected functionality.</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08" w:lineRule="exact"/>
        <w:rPr>
          <w:sz w:val="20"/>
          <w:szCs w:val="20"/>
          <w:color w:val="auto"/>
        </w:rPr>
      </w:pPr>
    </w:p>
    <w:p>
      <w:pPr>
        <w:ind w:right="2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our Nautilus Voyager platform, which may vary significantly from period to period;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our Nautilus Voyager platform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Voyager platform;</w:t>
      </w:r>
    </w:p>
    <w:p>
      <w:pPr>
        <w:spacing w:after="0" w:line="171" w:lineRule="exact"/>
        <w:rPr>
          <w:rFonts w:ascii="Times New Roman" w:cs="Times New Roman" w:eastAsia="Times New Roman" w:hAnsi="Times New Roman"/>
          <w:sz w:val="18"/>
          <w:szCs w:val="18"/>
          <w:color w:val="auto"/>
        </w:rPr>
      </w:pPr>
    </w:p>
    <w:p>
      <w:pPr>
        <w:ind w:right="34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consumables, instruments and software,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any material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40"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and/or unpredictable tariffs on our products, and/or on parts or materials that we source from foreign suppliers;</w:t>
      </w:r>
    </w:p>
    <w:p>
      <w:pPr>
        <w:spacing w:after="0" w:line="171" w:lineRule="exact"/>
        <w:rPr>
          <w:rFonts w:ascii="Times New Roman" w:cs="Times New Roman" w:eastAsia="Times New Roman" w:hAnsi="Times New Roman"/>
          <w:sz w:val="18"/>
          <w:szCs w:val="18"/>
          <w:color w:val="auto"/>
        </w:rPr>
      </w:pPr>
    </w:p>
    <w:p>
      <w:pPr>
        <w:ind w:firstLine="332"/>
        <w:spacing w:after="0" w:line="266"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conflicts, such as the conflicts in Eastern Europe and the Middle East, any potential future financial institution failures, and other national and global events on the economy, investment in life sciences and research industries, our business operations, and resources and operations of our customers, suppliers, and distributors; and</w:t>
      </w:r>
    </w:p>
    <w:p>
      <w:pPr>
        <w:spacing w:after="0" w:line="121" w:lineRule="exact"/>
        <w:rPr>
          <w:rFonts w:ascii="Times New Roman" w:cs="Times New Roman" w:eastAsia="Times New Roman" w:hAnsi="Times New Roman"/>
          <w:sz w:val="18"/>
          <w:szCs w:val="18"/>
          <w:color w:val="auto"/>
        </w:rPr>
      </w:pPr>
    </w:p>
    <w:p>
      <w:pPr>
        <w:ind w:right="360" w:firstLine="332"/>
        <w:spacing w:after="0" w:line="282"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and other factors, including factors unrelated to our operating performance or the operating performance of our competitors.</w:t>
      </w:r>
    </w:p>
    <w:p>
      <w:pPr>
        <w:spacing w:after="0" w:line="10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22"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1"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We are a life sciences technology company with a limited operating history. We have not completed development of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or any other products and have not generated any material revenue to date. Our operations to date have been limited to developing our Nautilus Voyager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4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We will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additional capital to fund our development and commercialization plans.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available resources and existing cash, cash equivalents and investments, will be sufficient to meet our anticipated cash requirements for at least 12 months from the date of this Quarterly Report on Form 10-Q. If our available resources and existing cash and cash equivalents and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14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expect that we will need to raise additional capital in the future to expand our business, to pursue strategic investments, to take advantage of financing or acquisition opportunities or for other reasons, including:</w:t>
      </w:r>
    </w:p>
    <w:p>
      <w:pPr>
        <w:spacing w:after="0" w:line="10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or any other future products;</w:t>
      </w:r>
    </w:p>
    <w:p>
      <w:pPr>
        <w:spacing w:after="0" w:line="116" w:lineRule="exact"/>
        <w:rPr>
          <w:rFonts w:ascii="Times New Roman" w:cs="Times New Roman" w:eastAsia="Times New Roman" w:hAnsi="Times New Roman"/>
          <w:sz w:val="18"/>
          <w:szCs w:val="18"/>
          <w:color w:val="auto"/>
        </w:rPr>
      </w:pPr>
    </w:p>
    <w:p>
      <w:pPr>
        <w:ind w:right="760" w:firstLine="332"/>
        <w:spacing w:after="0" w:line="282" w:lineRule="auto"/>
        <w:tabs>
          <w:tab w:leader="none" w:pos="6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our Nautilus Voyager platform, once commercialized;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defending against third party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technologies, businesses or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selling, general and administrative expenses.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execution of our development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our investment in our sales, marketing, and distribution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our business that affect ongoing operating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business or commercialization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research and development spending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71"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geopolitical conflicts, including war, trade embargoes, tariff policies and boycotts, changing interest rates, volatility in the global financial markets and general economic downturns;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may be unable to raise additional funds or to enter into such agreements or arrangements on favorable terms, or at all. We filed (i) on September 11, 2026, a shelf registration statement on Form S-3 with the SEC that became effective on September 18, 2026 and allows us to undertake various equity and debt offerings up to $300.0 million; and (ii) on September 18, 2026, a prospectus supplement to the shelf registration statement that covers the offering, issuance and sale of up to $125.0 million of our common stock from time to time through an “at-the-market” program under the Securities Act. Our ability to raise additional funds may be adversely impacted by potential worsening global economic conditions and disruptions to, and volatility in, the credit and financial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United States and worldwide, global geopolitical conflicts,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26" w:lineRule="exact"/>
        <w:rPr>
          <w:sz w:val="20"/>
          <w:szCs w:val="20"/>
          <w:color w:val="auto"/>
        </w:rPr>
      </w:pPr>
    </w:p>
    <w:p>
      <w:pPr>
        <w:jc w:val="both"/>
        <w:ind w:right="340" w:firstLine="324"/>
        <w:spacing w:after="0" w:line="261" w:lineRule="auto"/>
        <w:rPr>
          <w:sz w:val="20"/>
          <w:szCs w:val="20"/>
          <w:color w:val="auto"/>
        </w:rPr>
      </w:pPr>
      <w:r>
        <w:rPr>
          <w:rFonts w:ascii="Times New Roman" w:cs="Times New Roman" w:eastAsia="Times New Roman" w:hAnsi="Times New Roman"/>
          <w:sz w:val="18"/>
          <w:szCs w:val="18"/>
          <w:color w:val="auto"/>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the collapse of Silicon Valley Bank and other financial institutions in March 2023 has caused and could continue to cause volatility in the global financial markets.</w:t>
      </w:r>
    </w:p>
    <w:p>
      <w:pPr>
        <w:spacing w:after="0" w:line="12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volatility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ind w:right="2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26"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4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3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39"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8"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2" w:lineRule="exact"/>
        <w:rPr>
          <w:sz w:val="20"/>
          <w:szCs w:val="20"/>
          <w:color w:val="auto"/>
        </w:rPr>
      </w:pPr>
    </w:p>
    <w:p>
      <w:pPr>
        <w:ind w:right="100" w:firstLine="324"/>
        <w:spacing w:after="0" w:line="230" w:lineRule="auto"/>
        <w:rPr>
          <w:sz w:val="20"/>
          <w:szCs w:val="20"/>
          <w:color w:val="auto"/>
        </w:rPr>
      </w:pPr>
      <w:r>
        <w:rPr>
          <w:rFonts w:ascii="Times New Roman" w:cs="Times New Roman" w:eastAsia="Times New Roman" w:hAnsi="Times New Roman"/>
          <w:sz w:val="18"/>
          <w:szCs w:val="18"/>
          <w:color w:val="auto"/>
        </w:rPr>
        <w:t>Filing, prosecuting and defending patents on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in all countries throughout the world would be prohibitively expensive, and our intellectual property rights in some countries outside the United States can be less extensive than those in the United States.</w:t>
      </w:r>
    </w:p>
    <w:p>
      <w:pPr>
        <w:spacing w:after="0" w:line="14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4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04" w:lineRule="exact"/>
        <w:rPr>
          <w:sz w:val="20"/>
          <w:szCs w:val="20"/>
          <w:color w:val="auto"/>
        </w:rPr>
      </w:pPr>
    </w:p>
    <w:p>
      <w:pPr>
        <w:jc w:val="both"/>
        <w:ind w:right="4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40"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0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33"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Even if we were to prevail in any future litigation, litigation could also result in substantial costs and diversion of resources and could have a material adverse effect on our business, operating results or financial condition.</w:t>
      </w:r>
    </w:p>
    <w:p>
      <w:pPr>
        <w:spacing w:after="0" w:line="129" w:lineRule="exact"/>
        <w:rPr>
          <w:sz w:val="20"/>
          <w:szCs w:val="20"/>
          <w:color w:val="auto"/>
        </w:rPr>
      </w:pPr>
    </w:p>
    <w:p>
      <w:pPr>
        <w:jc w:val="both"/>
        <w:ind w:right="100" w:firstLine="324"/>
        <w:spacing w:after="0" w:line="272" w:lineRule="auto"/>
        <w:rPr>
          <w:sz w:val="20"/>
          <w:szCs w:val="20"/>
          <w:color w:val="auto"/>
        </w:rPr>
      </w:pPr>
      <w:r>
        <w:rPr>
          <w:rFonts w:ascii="Times New Roman" w:cs="Times New Roman" w:eastAsia="Times New Roman" w:hAnsi="Times New Roman"/>
          <w:sz w:val="17"/>
          <w:szCs w:val="17"/>
          <w:color w:val="auto"/>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defense of these matters can be time consuming, costly to defend in litigation, divert management’s attention and resources, damage our reputation and brand and cause us to incur significant expenses or make substantial payments.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owned and any future licensed patents and patent applications may be subject to validity, enforceability and priority disputes. The issuance of a patent is not conclusive as to its inventorship, scope, validity or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Some of our patents or patent applications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4"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300" w:firstLine="324"/>
        <w:spacing w:after="0" w:line="241"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including parts of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45"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3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ind w:firstLine="324"/>
        <w:spacing w:after="0" w:line="247" w:lineRule="auto"/>
        <w:rPr>
          <w:sz w:val="20"/>
          <w:szCs w:val="20"/>
          <w:color w:val="auto"/>
        </w:rPr>
      </w:pPr>
      <w:r>
        <w:rPr>
          <w:rFonts w:ascii="Times New Roman" w:cs="Times New Roman" w:eastAsia="Times New Roman" w:hAnsi="Times New Roman"/>
          <w:sz w:val="18"/>
          <w:szCs w:val="18"/>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8"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4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Nautilus Voyager</w:t>
      </w:r>
      <w:r>
        <w:rPr>
          <w:rFonts w:ascii="Times New Roman" w:cs="Times New Roman" w:eastAsia="Times New Roman" w:hAnsi="Times New Roman"/>
          <w:sz w:val="23"/>
          <w:szCs w:val="23"/>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platform for an adequate amount of time.</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30" w:lineRule="exact"/>
        <w:rPr>
          <w:sz w:val="20"/>
          <w:szCs w:val="20"/>
          <w:color w:val="auto"/>
        </w:rPr>
      </w:pPr>
    </w:p>
    <w:p>
      <w:pPr>
        <w:jc w:val="both"/>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9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0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175" w:lineRule="exact"/>
        <w:rPr>
          <w:sz w:val="20"/>
          <w:szCs w:val="20"/>
          <w:color w:val="auto"/>
        </w:rPr>
      </w:pPr>
    </w:p>
    <w:p>
      <w:pPr>
        <w:ind w:right="20" w:firstLine="324"/>
        <w:spacing w:after="0" w:line="243"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or technologies, including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4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9" w:name="page60"/>
    <w:bookmarkEnd w:id="59"/>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04"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0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4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Although we review and monitor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right="20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07"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right="10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license or own in the future will not lead to issued patents;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right="80" w:firstLine="332"/>
        <w:spacing w:after="0" w:line="282" w:lineRule="auto"/>
        <w:tabs>
          <w:tab w:leader="none" w:pos="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independently derive, use, commercialize, publish or patent such intellectual property.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Should any of these events occur, they could materially adversely affect our business, financial condition, results of operations and prospects.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that we develop under government contracts and/or grants may be subject to certain government rights.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When new technologies are developed with U.S. government funding (such as under the recently announced ARPA-H BIOGAMI SEEDS initiative, a government funded research consortium in which Nautilus is expected to participate),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to grant the license itself. U.S. government-funded inventions must be reported to the government and U.S. government funding must be disclosed in any resulting patent applications; our rights in such inventions will normally be subject to government license rights, periodic post-contract utilization reporting, foreign manufacturing restrictions, and march-in rights.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17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which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14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products and services. Our success depends upon our ability to successfully enforce and defend our own intellectual property rights, and to defend ourselves from claims that we infringe the intellectual property rights of others.</w:t>
      </w:r>
    </w:p>
    <w:p>
      <w:pPr>
        <w:spacing w:after="0" w:line="104"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unknown defects or errors, which may give rise to claims against us and adversely affect market adoption of our Nautilus Voyager</w:t>
      </w:r>
      <w:r>
        <w:rPr>
          <w:rFonts w:ascii="Times New Roman" w:cs="Times New Roman" w:eastAsia="Times New Roman" w:hAnsi="Times New Roman"/>
          <w:sz w:val="23"/>
          <w:szCs w:val="23"/>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platform.</w:t>
      </w:r>
    </w:p>
    <w:p>
      <w:pPr>
        <w:spacing w:after="0" w:line="33" w:lineRule="exact"/>
        <w:rPr>
          <w:sz w:val="20"/>
          <w:szCs w:val="20"/>
          <w:color w:val="auto"/>
        </w:rPr>
      </w:pPr>
    </w:p>
    <w:p>
      <w:pPr>
        <w:ind w:right="80" w:firstLine="324"/>
        <w:spacing w:after="0" w:line="244" w:lineRule="auto"/>
        <w:rPr>
          <w:sz w:val="20"/>
          <w:szCs w:val="20"/>
          <w:color w:val="auto"/>
        </w:rPr>
      </w:pPr>
      <w:r>
        <w:rPr>
          <w:rFonts w:ascii="Times New Roman" w:cs="Times New Roman" w:eastAsia="Times New Roman" w:hAnsi="Times New Roman"/>
          <w:sz w:val="18"/>
          <w:szCs w:val="18"/>
          <w:color w:val="auto"/>
        </w:rPr>
        <w:t>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Voyager platform, these risks may increase. We expect to provide warranties that our Nautilus Voyager platform will meet performance expectations or be free from defects. The costs incurred in correcting any defects or errors may be substantial and could adversely affect our operating margins.</w:t>
      </w:r>
    </w:p>
    <w:p>
      <w:pPr>
        <w:spacing w:after="0" w:line="140"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manufacturing our Nautilus Voyager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or expansion of our product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into our service department; and</w:t>
      </w:r>
    </w:p>
    <w:p>
      <w:pPr>
        <w:spacing w:after="0" w:line="171" w:lineRule="exact"/>
        <w:rPr>
          <w:rFonts w:ascii="Times New Roman" w:cs="Times New Roman" w:eastAsia="Times New Roman" w:hAnsi="Times New Roman"/>
          <w:sz w:val="18"/>
          <w:szCs w:val="18"/>
          <w:color w:val="auto"/>
        </w:rPr>
      </w:pPr>
    </w:p>
    <w:p>
      <w:pPr>
        <w:ind w:left="340" w:right="80" w:hanging="8"/>
        <w:spacing w:after="0" w:line="435" w:lineRule="auto"/>
        <w:tabs>
          <w:tab w:leader="none" w:pos="6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we could face substantial liabilities that exceed our resources.</w:t>
      </w:r>
    </w:p>
    <w:p>
      <w:pPr>
        <w:spacing w:after="0" w:line="175"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2" w:name="page63"/>
    <w:bookmarkEnd w:id="62"/>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1"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2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 (the “QSR”),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FDA’s new Quality Management System Regulation (“QMSR”), effective February 2, 2026, which incorporates by reference certain requirements under ISO 13485.</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QMSRs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subject to enforcement actions, including warning letters and adverse publicity, fines, injunctions, and civil penalties; recall or seizure of products; operating restrictions; and criminal prosecution.</w:t>
      </w:r>
    </w:p>
    <w:p>
      <w:pPr>
        <w:spacing w:after="0" w:line="10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1"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23" w:lineRule="exact"/>
        <w:rPr>
          <w:sz w:val="20"/>
          <w:szCs w:val="20"/>
          <w:color w:val="auto"/>
        </w:rPr>
      </w:pPr>
    </w:p>
    <w:p>
      <w:pPr>
        <w:ind w:right="40" w:firstLine="324"/>
        <w:spacing w:after="0" w:line="246" w:lineRule="auto"/>
        <w:rPr>
          <w:sz w:val="20"/>
          <w:szCs w:val="20"/>
          <w:color w:val="auto"/>
        </w:rPr>
      </w:pPr>
      <w:r>
        <w:rPr>
          <w:rFonts w:ascii="Times New Roman" w:cs="Times New Roman" w:eastAsia="Times New Roman" w:hAnsi="Times New Roman"/>
          <w:sz w:val="18"/>
          <w:szCs w:val="18"/>
          <w:color w:val="auto"/>
        </w:rPr>
        <w:t>We do not currently expect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4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FDA has historically exercised enforcement discretion in not enforcing the medical device regulations against laboratories offering LDTs. In May 2024, FDA issued a final rule that amends FDA’s regulations to make explicit that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(“IVDs”) are devices under the Federal Food, Drug, and Cosmetic Act, including when the manufacturer of the IVD is a laboratory, and phases out its enforcement discretion for LDTs. On March 31, 2025, the U.S. District Court for the Eastern District of Texas vacated and set aside the FDA LDT Final Rule in its entirety. Further, in June 2024, the U.S.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FDA’s statutory interpretations, which can lead to uncertainties in the industry.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3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Changes in the leadership of FDA and other federal agencies under the Trump administration, including mass layoffs and potential changes in future policies and regulations that can impact our industry, have resulted in significant uncertainties in the industry, including product developers and businesses of customers who use our products. Reduction in federal funding for research could negatively impact our customers and thus reduce the demand for our products. To the extent we are required to conduct clinical trials or to obtain regulatory authorization for our marketed products or future products due to changes in the regulatory requirements, delays in the commencement of our product launches or our changes to our current marketing strategy could significantly increase our costs and delay our commercialization plans, which could harm our financial prospects.</w:t>
      </w:r>
    </w:p>
    <w:p>
      <w:pPr>
        <w:spacing w:after="0" w:line="129"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United States,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provides for certain privacy rights for California residents and imposes obligations on companies that process their personal information, came into effect on January 1, 2020. Among other things, the CCPA requires covered companies to provide certain disclosures to California consumers and provide such consumers with certain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In addition to the CCPA, numerous other states’ legislatures are considering or have enacted similar data privacy laws. For example, Virginia, Colorado, Utah and Connecticut have each passed laws similar to but different from the CCPA and CPRA that took effect in 2023; Florida, Montana, Oregon and Texas have enacted similar laws that took effect in 2024; Tennessee, Delaware, Iowa, Maryland, Minnesota, New Hampshire, Nebraska and New Jersey have enacted similar laws that took effect in 2025; Indiana, Rhode Island and Kentucky have enacted similar laws that have taken effect in 2026; Alabama and Oklahoma have enacted similar laws that take effect in 2027; and Vermont has enacted similar legislation that will take effect in 2028.</w:t>
      </w:r>
    </w:p>
    <w:p>
      <w:pPr>
        <w:spacing w:after="0" w:line="13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Additionally, certain other state laws govern the privacy and security of health information in certain circumstances, such as Washington’s My Health, My Data Act, which contains a private right of action. These new state laws will require ongoing compliance efforts and investment. In addition, laws in all 50 U.S. states require businesses to provide notice to consumers whose personal information has been disclosed or otherwise processed as a result of a data breach. State laws are changing rapidly. The U.S. Department of Justice also has issued rules regarding certain bulk sensitive personal data transfers, and there is discussion in the U.S. Congress of comprehensive federal data privacy legislation. It is possible that these or other laws, regulations, or other actual or asserted obligations relating to privacy or security matters, or otherwise relating to the collection, use, transfer, or other processing of personal information, may be interpreted and applied in a manner that is inconsistent with our practices. If so, this could result in government-imposed fines or orders requiring that we change our practices, which could adversely affect our business.</w:t>
      </w:r>
    </w:p>
    <w:p>
      <w:pPr>
        <w:spacing w:after="0" w:line="13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4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While we have implemented policies and contractual safeguards designed to address compliance with U.S. and foreign privacy laws and data transfer regulations, the complex and evolving landscape of privacy and data security laws and regulations both domestically and internationally, including the evolving compliance and operational requirements for such laws and regulations,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which may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or consultants to comply with any applicable federal, state or similar foreign laws and regulations, contractual obligations or any other actual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asserted obligations relating to privacy, security, or the collection, use, transfer, or other processing of personal information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and machine learning technologies may result in reputational harm or liability.</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customers, or other third parties may incorporate AIML into their products and services or otherwise within their business more quickly or more successfully than us, which could impair our ability to compete with or serve them effectively, which could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to violate other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pacing w:after="0" w:line="133" w:lineRule="exact"/>
        <w:rPr>
          <w:sz w:val="20"/>
          <w:szCs w:val="20"/>
          <w:color w:val="auto"/>
        </w:rPr>
      </w:pPr>
    </w:p>
    <w:p>
      <w:pPr>
        <w:ind w:right="380" w:firstLine="324"/>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our Nautilus Voyager</w:t>
      </w:r>
      <w:r>
        <w:rPr>
          <w:rFonts w:ascii="Times New Roman" w:cs="Times New Roman" w:eastAsia="Times New Roman" w:hAnsi="Times New Roman"/>
          <w:sz w:val="23"/>
          <w:szCs w:val="23"/>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platform outside of the United States, our international business could expose us to business, tax, regulatory, political, operational, financial, and economic risks associated with doing business outside of the United States.</w:t>
      </w:r>
    </w:p>
    <w:p>
      <w:pPr>
        <w:spacing w:after="0" w:line="142" w:lineRule="exact"/>
        <w:rPr>
          <w:sz w:val="20"/>
          <w:szCs w:val="20"/>
          <w:color w:val="auto"/>
        </w:rPr>
      </w:pPr>
    </w:p>
    <w:p>
      <w:pPr>
        <w:ind w:right="180" w:firstLine="324"/>
        <w:spacing w:after="0" w:line="236" w:lineRule="auto"/>
        <w:rPr>
          <w:sz w:val="20"/>
          <w:szCs w:val="20"/>
          <w:color w:val="auto"/>
        </w:rPr>
      </w:pPr>
      <w:r>
        <w:rPr>
          <w:rFonts w:ascii="Times New Roman" w:cs="Times New Roman" w:eastAsia="Times New Roman" w:hAnsi="Times New Roman"/>
          <w:sz w:val="18"/>
          <w:szCs w:val="18"/>
          <w:color w:val="auto"/>
        </w:rPr>
        <w:t>If we commercialize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outside of the United States, our international business may be adversely affected by changing economic, political and regulatory conditions in foreign countries, as well as changes resulting from new political administrations in the United States. Engaging in international business inherently involves a number of difficulties and risks, including:</w:t>
      </w:r>
    </w:p>
    <w:p>
      <w:pPr>
        <w:spacing w:after="0" w:line="146"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w:t>
      </w:r>
    </w:p>
    <w:p>
      <w:pPr>
        <w:spacing w:after="0" w:line="171" w:lineRule="exact"/>
        <w:rPr>
          <w:rFonts w:ascii="Times New Roman" w:cs="Times New Roman" w:eastAsia="Times New Roman" w:hAnsi="Times New Roman"/>
          <w:sz w:val="18"/>
          <w:szCs w:val="18"/>
          <w:color w:val="auto"/>
        </w:rPr>
      </w:pPr>
    </w:p>
    <w:p>
      <w:pPr>
        <w:ind w:right="440" w:firstLine="332"/>
        <w:spacing w:after="0" w:line="282" w:lineRule="auto"/>
        <w:tabs>
          <w:tab w:leader="none" w:pos="6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 Control;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longer payment cycles and difficulties in enforcing agreements and collecting receivables through certain foreign legal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w:t>
      </w:r>
    </w:p>
    <w:p>
      <w:pPr>
        <w:spacing w:after="0" w:line="1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ind w:firstLine="332"/>
        <w:spacing w:after="0" w:line="266" w:lineRule="auto"/>
        <w:tabs>
          <w:tab w:leader="none" w:pos="6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and political conditions or in laws, regulations and policies governing foreign trade, tariffs,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71"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including compliance with diverse and complex local employment laws and practices;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0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For example, on January 15, 2025, the United States Department of Commerce Bureau of Industry and Security (“BIS”) issued an Interim Final Rule (“IFR”) implementing targeted export controls on certain laboratory instruments. This IFR imposes certain new restrictions and license requirements on export to certain countries of certain analytical instruments that are highly suitable for generating large, detailed biological datasets, which can be analyzed to discover complex patterns governing the function of biological molecules, cells, and organisms. The IFR seeks to regulate exports of these analytical instruments based upon the potential to exploit these techniques for asymmetric military advantage. The analytical instruments subject to the IFR, as written, include high-parameter and spectral flow cytometers and cell sorters and certain liquid chromatography mass spectrometers (LC/MS) specially designed for proteomics. While the Company’s platform would not be included under the current IFR, given the platform’s anticipated ability to generate large proteomic datasets, future BIS or other government regulations could potentially encompass our products and/or negatively impact our ability to export those products to certain countries and markets.</w:t>
      </w:r>
    </w:p>
    <w:p>
      <w:pPr>
        <w:spacing w:after="0" w:line="131" w:lineRule="exact"/>
        <w:rPr>
          <w:sz w:val="20"/>
          <w:szCs w:val="20"/>
          <w:color w:val="auto"/>
        </w:rPr>
      </w:pPr>
    </w:p>
    <w:p>
      <w:pPr>
        <w:ind w:right="140" w:firstLine="324"/>
        <w:spacing w:after="0" w:line="245" w:lineRule="auto"/>
        <w:rPr>
          <w:sz w:val="20"/>
          <w:szCs w:val="20"/>
          <w:color w:val="auto"/>
        </w:rPr>
      </w:pPr>
      <w:r>
        <w:rPr>
          <w:rFonts w:ascii="Times New Roman" w:cs="Times New Roman" w:eastAsia="Times New Roman" w:hAnsi="Times New Roman"/>
          <w:sz w:val="18"/>
          <w:szCs w:val="18"/>
          <w:color w:val="auto"/>
        </w:rPr>
        <w:t>In addition, if we commercialize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outside of the United States, we may rely on distributors for sales of our Nautilus Voyager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Voyager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36"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expand our development and commercialization activities outside of the United States, we will be subject to an increased risk of conducting activities in a manner that violates the U.S. Foreign Corrupt Practices Act and similar laws. If that occurs, we may be subject to civil or criminal penalties and other adverse consequences which could have a material adverse effect on our business, financial condition, results of operations and growth prospects.</w:t>
      </w:r>
    </w:p>
    <w:p>
      <w:pPr>
        <w:spacing w:after="0" w:line="126"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spacing w:after="0" w:line="133"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If we choose to establish and expand our commercial operations outside of the United States we will need to comply with non-U.S. regulatory requirements, may need to establish and expand business relationships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spacing w:after="0" w:line="13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spacing w:after="0" w:line="129"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36"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39"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technology could be reduced by legal, social and ethical concerns surrounding the use of genetic information and biological materials.</w:t>
      </w:r>
    </w:p>
    <w:p>
      <w:pPr>
        <w:spacing w:after="0" w:line="10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29"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developments or changes in national laws or policies to protect or promote domestic interests and/or address foreign competition could have an adverse effect on our business and financial condition.</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Significant developments or changes in national laws or policies to protect or promote domestic interests and/or address foreign competition, including laws and policies in areas such as trade, manufacturing, government purchasing, health care, intellectual property and investment/development, could adversely affect our business, financial condition and results of operations. For example, certain governments have implemented policies to induce “re-shoring” of supply chains, reduce reliance on imported supplies and promote national production. The Chinese government has issued a series of policies in the past several years to promote the development and use of local medical devices. In addition, in recent years the U.S. has increased tariffs on certain imported goods and trade tensions between the U.S. and China escalated, with each country imposing significant, additional tariffs on a wide range of goods imported from the other country.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1"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10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facilitate our research and development initiatives, manage our manufacturing operations, maintain quality control, fulfill customer orders, process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security incidents in the past, and we may experience them again in the future. For example, in January 2024, we experienced an incident involving unauthorized access to an employee account. The Company has worked, and continues to work with external cybersecurity experts, in detecting, blocking, containing, remediating, and investigating any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Cybersecurity risks are constantly evolving, and as such, we anticipate additional work and expense in the future as we continue to further enhance our security processes and initiatives to meet the changing landscape of cybersecurity risks. While cyber insurance may be available for companies, any available insurance for cyber events, may be limited in amount, subject to deductibles, and may not be adequate to cover us for all costs arising from security incidents. Given increasing cybersecurity risks, cyber insurance may not be available to us in the future, or may not be available on commercially reasonable terms.</w:t>
      </w:r>
    </w:p>
    <w:p>
      <w:pPr>
        <w:spacing w:after="0" w:line="13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 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New and evolving technologies also may increase cybersecurity threats, including AIML technologies that facilitate the identification and exploitation of security vulnerabilities. Despite our efforts to create security barriers to such threats, it is virtually impossible for us to entirely mitigate these risks. Despite any of our current or future efforts to protect against cyberattacks and security breaches and incidents, there is no guarantee that our efforts are adequate to safeguard against all such attacks, breaches, and incidents. Moreover, it is possible that we may not be able to anticipate, detect, appropriately react and respond to, or implement effective preventative measures against, all security incidents.</w:t>
      </w:r>
    </w:p>
    <w:p>
      <w:pPr>
        <w:spacing w:after="0" w:line="13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vendors and partners, are compromised due to cyberattacks or security breaches or incidents, including as a result of third-party action, employee or customer error, malfeasance, stolen or fraudulently obtained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In addition, our information technology systems, and those of our vendors and partners, are potentially vulnerable to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spacing w:after="0" w:line="13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federal, state and foreign laws and regulations relating to the privacy and security of personal information, violations of which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result in significant penalties and fines. Furthermore, defending a suit, regardless of its merit, could be costly, divert management’s attention and harm our reputation. In addition, although we seek to detect and investigate security incidents, security breaches and other incidents of unauthorized access to our information technology systems and data, these can be difficult to detect and any delay in identifying such breaches or incidents may lead to increased harm and legal exposure of the type described above. Moreover, there could be public announcements regarding any actual or perceived security breaches or incidents and any steps we take to respond to or remediate such breaches or incidents, and if securities analysts or investors perceive these announcements to be negative, it could, among other things, have a material adverse effect on the price of our Common Stock.</w:t>
      </w:r>
    </w:p>
    <w:p>
      <w:pPr>
        <w:spacing w:after="0" w:line="13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and other incidents impacting our information technology systems and data security breaches and incidents and complying with applicable breach notification obligations to individuals, regulators, partners and others can be significant. As security incidents continue to evolve, we may be required to expend significant additional resources to continue to modify or enhance our protective measures or to investigate and remediate information security vulnerabilities. Any failure to implement, maintain and upgrade adequate safeguards, or for this to be believed or asserted to be the case, could have a material adverse effect on our business, financial condition, results of operations and prospects.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anticipated growth effectively.</w:t>
      </w:r>
    </w:p>
    <w:p>
      <w:pPr>
        <w:spacing w:after="0" w:line="175"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September 30, 2026, we had 128 employees. While in the first quarter of 2025 we implemented our workforce reductions, to execute our anticipated growth successfully, we must continue to attract and retain qualified personnel and manage and train them effectively. Developing and commercializing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and as we begin commercialization. As a public company, our management and other personnel will need to devote a substantial amount of time towards maintaining compliance with these requirements and effectively manage our expected growth activities. We may face challenges integrating, developing and motivating our employee base.</w:t>
      </w:r>
    </w:p>
    <w:p>
      <w:pPr>
        <w:spacing w:after="0" w:line="146"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executives and scientists, we may be unable to achieve our goals.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0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26"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In addition, our research and product development efforts could be delayed or curtailed if we are unable to attract, train and retain highly skilled employees, particularly, senior scientists and engineers. To expand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Workforce reductions, such as the workforce reduction implemented during the first quarter of 2025, may be negatively received by potential or current employees and accordingly result in attrition or difficulty in recruiting desirable candidates.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36"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5"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4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2"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multiple global events, including global pandemics, geopolitical conflicts, such as the conflicts in Eastern Europe and the Middle East, changing tariff environments, potential trade wars and embargoes, changing interest rates, instability in the global financial markets, and general economic downturns, could adversely affect our ability to raise capital and our business, results of operations and financial condition.</w:t>
      </w:r>
    </w:p>
    <w:p>
      <w:pPr>
        <w:spacing w:after="0" w:line="126" w:lineRule="exact"/>
        <w:rPr>
          <w:sz w:val="20"/>
          <w:szCs w:val="20"/>
          <w:color w:val="auto"/>
        </w:rPr>
      </w:pPr>
    </w:p>
    <w:p>
      <w:pPr>
        <w:ind w:right="20" w:firstLine="324"/>
        <w:spacing w:after="0" w:line="247" w:lineRule="auto"/>
        <w:rPr>
          <w:sz w:val="20"/>
          <w:szCs w:val="20"/>
          <w:color w:val="auto"/>
        </w:rPr>
      </w:pPr>
      <w:r>
        <w:rPr>
          <w:rFonts w:ascii="Times New Roman" w:cs="Times New Roman" w:eastAsia="Times New Roman" w:hAnsi="Times New Roman"/>
          <w:sz w:val="18"/>
          <w:szCs w:val="18"/>
          <w:color w:val="auto"/>
        </w:rPr>
        <w:t>While the potential economic impact brought by multiple adverse global circumstances, such as the global pandemics, geopolitical conflicts such as the conflicts in Eastern Europe and the Middle East, potential uncertainty related to Taiwan and its relationship with China, changing tariff environments and potential for trade wars and embargoes, changing interest rates and general economic downturns, and related volatility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and our ability to raise additional capital when needed on favorable terms, if at all. A weak or declining economy could strain our customers’ budgets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Tariffs imposed upon products and materials used in manufacturing our products, or responsive tariffs imposed upon our exported products could impact our costs of manufacturing and ability to sell products in foreign countries, which could have a negative impact on our business. On February 20, 2026, the Supreme Court ruled against President Trump’s use of the International Emergency Economic Powers Act, or IEEPA, to impose tariffs on global trade partners. The case has been returned to the Court of International Trade for reconsideration in accordance with the Supreme Court ruling, and thus, the impact of this decision on previous tariffs is not yet clear. In addition, President Trump has already stated that he will impose new tariffs under different authorities including Section 122.</w:t>
      </w:r>
    </w:p>
    <w:p>
      <w:pPr>
        <w:spacing w:after="0" w:line="14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Further, changes in U.S. government spending resulting from new political administrations could have adverse consequences on our financial position, results of operations and business. 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September 30, 2026, we had cash, cash equivalents and investments of $114.3 million, consisting of U.S. treasury securities, mutual funds, commercial paper, and agency securities. Any default by the U.S. government or credit downgrade of the securities we hold could impact the liquidity or valuation of our investments.</w:t>
      </w:r>
    </w:p>
    <w:p>
      <w:pPr>
        <w:spacing w:after="0" w:line="13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118"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0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Seattle, Washington, facility primarily houses our corporate executive team and our software development operations, while our facilities in San Carlos and San Diego, California primarily house our research and development teams.</w:t>
      </w:r>
    </w:p>
    <w:p>
      <w:pPr>
        <w:spacing w:after="0" w:line="1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facilities in Seattle and San Carlos are vulnerable to natural disasters, public health crises, and other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3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If our research and development program or planned commercialization program were disrupted by a disaster or catastrophe, the launch of new products, including our Nautilus Voyager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05" w:lineRule="exact"/>
        <w:rPr>
          <w:sz w:val="20"/>
          <w:szCs w:val="20"/>
          <w:color w:val="auto"/>
        </w:rPr>
      </w:pPr>
    </w:p>
    <w:p>
      <w:pPr>
        <w:ind w:right="20" w:firstLine="324"/>
        <w:spacing w:after="0" w:line="243" w:lineRule="auto"/>
        <w:rPr>
          <w:sz w:val="20"/>
          <w:szCs w:val="20"/>
          <w:color w:val="auto"/>
        </w:rPr>
      </w:pPr>
      <w:r>
        <w:rPr>
          <w:rFonts w:ascii="Times New Roman" w:cs="Times New Roman" w:eastAsia="Times New Roman" w:hAnsi="Times New Roman"/>
          <w:sz w:val="18"/>
          <w:szCs w:val="18"/>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never develop or be sustained.</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there was no public trading market for Legacy Nautilus’ Common Stock. Although our Common Stock is listed on the Nasdaq Capital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which could result in substantial losses for investors.</w:t>
      </w:r>
    </w:p>
    <w:p>
      <w:pPr>
        <w:spacing w:after="0" w:line="1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could be subject to wide fluctuations in response to various factors, some of which are beyond our control.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price of our Common Stock may fluctuate due to a variety of factors, including:</w:t>
      </w:r>
    </w:p>
    <w:p>
      <w:pPr>
        <w:spacing w:after="0" w:line="171" w:lineRule="exact"/>
        <w:rPr>
          <w:sz w:val="20"/>
          <w:szCs w:val="20"/>
          <w:color w:val="auto"/>
        </w:rPr>
      </w:pPr>
    </w:p>
    <w:p>
      <w:pPr>
        <w:ind w:firstLine="332"/>
        <w:spacing w:after="0" w:line="282"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launch and commercialization of our products and degree to which such launch and commercialization meets the expectations of securities analysts and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being more than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1" w:lineRule="exact"/>
        <w:rPr>
          <w:rFonts w:ascii="Times New Roman" w:cs="Times New Roman" w:eastAsia="Times New Roman" w:hAnsi="Times New Roman"/>
          <w:sz w:val="18"/>
          <w:szCs w:val="18"/>
          <w:color w:val="auto"/>
        </w:rPr>
      </w:pPr>
    </w:p>
    <w:p>
      <w:pPr>
        <w:ind w:right="240" w:firstLine="332"/>
        <w:spacing w:after="0" w:line="282"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5" w:name="page76"/>
    <w:bookmarkEnd w:id="75"/>
    <w:p>
      <w:pPr>
        <w:spacing w:after="0" w:line="140"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right="20" w:firstLine="332"/>
        <w:spacing w:after="0" w:line="266" w:lineRule="auto"/>
        <w:tabs>
          <w:tab w:leader="none" w:pos="6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other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pandemics, natural disasters or major catastrophic events.</w:t>
      </w:r>
    </w:p>
    <w:p>
      <w:pPr>
        <w:spacing w:after="0" w:line="17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31"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spacing w:after="0" w:line="10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must continue to satisfy the Nasdaq Capital Market’s continued listing requirements, including, among other things, a minimum closing bid price requirement of $1.00 per share for 30 consecutive business days. If a company fails for 30 consecutive business days to meet the $1.00 minimum closing bid price requirement, The Nasdaq Stock Market LLC (“Nasdaq”) will send a deficiency notice to the company, advising that it has been afforded a “compliance period” of 180 calendar days to regain compliance with the applicable requirements.</w:t>
      </w:r>
    </w:p>
    <w:p>
      <w:pPr>
        <w:spacing w:after="0" w:line="126" w:lineRule="exact"/>
        <w:rPr>
          <w:sz w:val="20"/>
          <w:szCs w:val="20"/>
          <w:color w:val="auto"/>
        </w:rPr>
      </w:pPr>
    </w:p>
    <w:p>
      <w:pPr>
        <w:ind w:right="660" w:firstLine="324"/>
        <w:spacing w:after="0" w:line="266" w:lineRule="auto"/>
        <w:rPr>
          <w:sz w:val="20"/>
          <w:szCs w:val="20"/>
          <w:color w:val="auto"/>
        </w:rPr>
      </w:pPr>
      <w:r>
        <w:rPr>
          <w:rFonts w:ascii="Times New Roman" w:cs="Times New Roman" w:eastAsia="Times New Roman" w:hAnsi="Times New Roman"/>
          <w:sz w:val="18"/>
          <w:szCs w:val="18"/>
          <w:color w:val="auto"/>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May 1, 2025, we received a letter from the Listing Qualifications Staff (“Staff”) of Nasdaq indicating that, based upon the closing bid price of shares of our Common Stock for the 30 consecutive business day period between March 19, 2025, through April 30, 2025, we did not meet the Minimum Bid Price Requirement for continued listing on the Nasdaq Global Select Market pursuant to Nasdaq Listing Rule 5450(a)(1). On November 3, 2025, the Staff notified us that since the Company’s stock had achieved a closing bid price of greater than $1.00 for at least 10 consecutive business days, that we had regained compliance with the Nasdaq listing requirements. If the closing bid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4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price of our Common Stock should fall below $1 for 30 consecutive business days in the future, we could again fail to meet the Minimum Bid Price Requirement for continued listing on the Nasdaq Capital Market and face a risk of delisting.</w:t>
      </w:r>
    </w:p>
    <w:p>
      <w:pPr>
        <w:spacing w:after="0" w:line="10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Even though we have regained compliance with the Nasdaq Capital Market’s minimum closing bid price requirement, there is no guarantee that we will remain in compliance with such listing requirements or other listing requirements in the future. Any failure to maintain compliance with continued listing requirements of the Nasdaq Capital Market could result in delisting of our common stock from the Nasdaq Capital Market and negatively impact our company and holders of our common stock, including by reducing the willingness of investors to hold our common stock because of the resulting decreased price, liquidity and trading of our common stock, limited availability of price quotations and reduced news and analyst coverage. Delisting may adversely impact the perception of our financial condition, cause reputational harm with investors, our employees and parties conducting business with us and limit our access to debt and equity financing.</w:t>
      </w:r>
    </w:p>
    <w:p>
      <w:pPr>
        <w:spacing w:after="0" w:line="131"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0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2026, our directors, executive officers, holders of more than 5% of our outstanding shares of Common Stock and their respective affiliates beneficially owned a substantial portion of the outstanding shares of our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29"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0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08"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25"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5" w:lineRule="exact"/>
        <w:rPr>
          <w:sz w:val="20"/>
          <w:szCs w:val="20"/>
          <w:color w:val="auto"/>
        </w:rPr>
      </w:pPr>
    </w:p>
    <w:p>
      <w:pPr>
        <w:jc w:val="both"/>
        <w:ind w:right="140" w:firstLine="324"/>
        <w:spacing w:after="0" w:line="244" w:lineRule="auto"/>
        <w:rPr>
          <w:sz w:val="20"/>
          <w:szCs w:val="20"/>
          <w:color w:val="auto"/>
        </w:rPr>
      </w:pPr>
      <w:r>
        <w:rPr>
          <w:rFonts w:ascii="Times New Roman" w:cs="Times New Roman" w:eastAsia="Times New Roman" w:hAnsi="Times New Roman"/>
          <w:sz w:val="18"/>
          <w:szCs w:val="18"/>
          <w:color w:val="auto"/>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including for continued product development of our Nautilus Voyager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other research and development activities, and commercialization of our Nautilus Voyager platform,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may never obtain a return on their investment.</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29"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spacing w:after="0" w:line="12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36"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0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9" w:lineRule="exact"/>
        <w:rPr>
          <w:sz w:val="20"/>
          <w:szCs w:val="20"/>
          <w:color w:val="auto"/>
        </w:rPr>
      </w:pPr>
    </w:p>
    <w:p>
      <w:pPr>
        <w:ind w:right="26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38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30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certain provisions of our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only able to take action at a meeting of stockholders and are not able to take action by written consent for any matter;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are able to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171"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costs and management resources as a result of operating as a public company.</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compliance and other expenses that we did not incur as a private company and these expenses may increase even more given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selling,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0" w:lineRule="exact"/>
        <w:rPr>
          <w:sz w:val="20"/>
          <w:szCs w:val="20"/>
          <w:color w:val="auto"/>
        </w:rPr>
      </w:pPr>
    </w:p>
    <w:p>
      <w:pPr>
        <w:ind w:left="340" w:right="60"/>
        <w:spacing w:after="0" w:line="3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have broad discretion in the use of the net proceeds from the Business Combination and the PIPE Financing and may not use them effectively. </w:t>
      </w:r>
      <w:r>
        <w:rPr>
          <w:rFonts w:ascii="Times New Roman" w:cs="Times New Roman" w:eastAsia="Times New Roman" w:hAnsi="Times New Roman"/>
          <w:sz w:val="17"/>
          <w:szCs w:val="17"/>
          <w:color w:val="auto"/>
        </w:rPr>
        <w:t>We cannot specify with certainty the particular uses of the net proceeds we received from the Business Combination and the PIPE Financing. Our</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certain other tax attributes to offset future taxable income may be subject to certain limitations.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U.S. federal and state net operating loss carryforwards (“NOLs”) may be unavailable to offset future taxable income because of restrictions under U.S. federal and/or state law. U.S. federal NOLs that arose in tax years beginning after December 31, 2017, may be carried forward indefinitely, but the deductibility of such U.S. federal NOLs will be limited to 80% of our current year taxable income (with certain adjustments). State NOLs may be subject to similar or different limitations. As of December 31, 2025, we had U.S. federal NOLs of $203.7 million, of which $203.2 million do not expire, and state NOLs of $197.9 million that will begin to expire in 2037.</w:t>
      </w:r>
    </w:p>
    <w:p>
      <w:pPr>
        <w:spacing w:after="0" w:line="1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Section 382 of the Internal Revenue Code of 1986, as amended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could adversely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future business, cash flows, results of operations or financial condition.</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tax laws, regulations, and policies of U.S. federal, state and local taxing jurisdictions and may in the future be subject to the tax laws, regulations, and policies of other taxing jurisdictions. Changes in tax laws, as well as other factors, could cause us to experience fluctuations in our tax obligations and effective tax rates and otherwise adversely affect our tax positions and/or our tax liabilities. In addition, many countries and local jurisdictions and organizations such as the Organisation for Economic Co-operation and Development (the “OECD”) have proposed or implemented new tax laws or changes to existing tax laws, including additional taxes on payroll or employees and a proposed 15% global minimum tax (“Pillar 2”) that has been implemented by several countries and is being considered for implementation by others. On January 5, 2026, the OECD announced a side-by-side elective safe harbor that exempts electing U.S.-parented multinational entities from certain provisions of Pillar Two for fiscal years beginning on or after January 1, 2026. Any new tax laws or changes to existing tax laws could adversely affect our future effective tax rate, operating results, tax credits or incentives or tax payments, which could have a material adverse effect on our future business, cash flows, results of operations or financial condition, including if we expand internationally.</w:t>
      </w:r>
    </w:p>
    <w:p>
      <w:pPr>
        <w:spacing w:after="0" w:line="136"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3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will be required to disclose material changes made in our internal controls over financial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 non-accelerated filer as such term is defined in Rule 12b-2 under the Securities Exchange Act of 1934, as amended (the “Exchange Act”), we will be required to include an attestation report on internal control over financial reporting issued by our independent registered public accounting firm. However, for as long as we remain a non-accelerated filer, our independent registered public accounting firm will not be required to attest to the effectiveness of our internal controls over financial reporting pursuant to Section 404(b) of SOX.</w:t>
      </w:r>
    </w:p>
    <w:p>
      <w:pPr>
        <w:spacing w:after="0" w:line="13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36"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Common Stock.</w:t>
      </w:r>
    </w:p>
    <w:p>
      <w:pPr>
        <w:spacing w:after="0" w:line="121"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revenue accounting standard if and when we have product sales,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136"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within the meaning of the Securities Act, and the reduced disclosure requirements applicable to smaller reporting companies may make our Common Stock less attractive to investors.</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Although we ceased to be an “emerging growth company,” as defined in the JOBS Act, on December 31, 2025, we are currently a “smaller reporting company” as defined in the Exchange Act. Smaller reporting companies may take advantage of certain exemptions from various reporting requirements that are applicable to other public companies that are not smaller reporting companies, including, among others, reduced disclosure obligations regarding executive compensation in our periodic reports and proxy statements, and not being required to furnish a stock performance graph in our annual report. Additionally, as a smaller reporting company, we are only required to provide two years of audited financial statements in our SEC reports. We will remain a smaller reporting company until the last day of the fiscal year in which (1) the market value of our common stock held by non-affiliates equals or exceeds $250 million as of the prior June 30, or (2) our annual revenues equal or exceed $100 million during such completed fiscal year and the market value of our common stock held by non-affiliates equals or exceeds $700 million as of the prior June 30.</w:t>
      </w:r>
    </w:p>
    <w:p>
      <w:pPr>
        <w:spacing w:after="0" w:line="13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If we take advantage of some or all of the reduced disclosure requirements available to smaller reporting companies, investors may find our common stock less attractive, which may result in a less active trading market for our common stock and greater stock price volatility.</w:t>
      </w:r>
    </w:p>
    <w:p>
      <w:pPr>
        <w:spacing w:after="0" w:line="104"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125"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10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Investor advocacy groups, proxy advisory services, investment funds, institutional investors, stockholders, and customers are increasingly focused on environmental, social, and governance (“ESG”) practices of companies. If our ESG practices fail to meet regulatory requirements or investor or other industry stakeholders' evolving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83" w:name="page84"/>
    <w:bookmarkEnd w:id="8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440" w:right="1099" w:bottom="1440" w:gutter="0" w:footer="0" w:header="0"/>
        </w:sectPr>
      </w:pPr>
    </w:p>
    <w:bookmarkStart w:id="84" w:name="page85"/>
    <w:bookmarkEnd w:id="8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160"/>
          </w:cols>
          <w:pgMar w:left="320" w:top="1440" w:right="419" w:bottom="1440" w:gutter="0" w:footer="0" w:header="0"/>
        </w:sectPr>
      </w:pPr>
    </w:p>
    <w:p>
      <w:pPr>
        <w:spacing w:after="0" w:line="2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000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4" w:lineRule="exact"/>
        <w:rPr>
          <w:sz w:val="20"/>
          <w:szCs w:val="20"/>
          <w:color w:val="auto"/>
        </w:rPr>
      </w:pPr>
    </w:p>
    <w:p>
      <w:pPr>
        <w:ind w:left="20"/>
        <w:spacing w:after="0"/>
        <w:rPr>
          <w:rFonts w:ascii="Times New Roman" w:cs="Times New Roman" w:eastAsia="Times New Roman" w:hAnsi="Times New Roman"/>
          <w:sz w:val="16"/>
          <w:szCs w:val="16"/>
          <w:u w:val="single" w:color="auto"/>
          <w:color w:val="0000FF"/>
        </w:rPr>
      </w:pPr>
      <w:hyperlink r:id="rId122">
        <w:r>
          <w:rPr>
            <w:rFonts w:ascii="Times New Roman" w:cs="Times New Roman" w:eastAsia="Times New Roman" w:hAnsi="Times New Roman"/>
            <w:sz w:val="16"/>
            <w:szCs w:val="16"/>
            <w:u w:val="single" w:color="auto"/>
            <w:color w:val="0000FF"/>
          </w:rPr>
          <w:t>1.1</w:t>
        </w:r>
      </w:hyperlink>
    </w:p>
    <w:p>
      <w:pPr>
        <w:spacing w:after="0" w:line="221" w:lineRule="exact"/>
        <w:rPr>
          <w:sz w:val="20"/>
          <w:szCs w:val="20"/>
          <w:color w:val="auto"/>
        </w:rPr>
      </w:pPr>
    </w:p>
    <w:p>
      <w:pPr>
        <w:ind w:left="20"/>
        <w:spacing w:after="0"/>
        <w:rPr>
          <w:rFonts w:ascii="Times New Roman" w:cs="Times New Roman" w:eastAsia="Times New Roman" w:hAnsi="Times New Roman"/>
          <w:sz w:val="16"/>
          <w:szCs w:val="16"/>
          <w:u w:val="single" w:color="auto"/>
          <w:color w:val="0000FF"/>
        </w:rPr>
      </w:pPr>
      <w:hyperlink r:id="rId123">
        <w:r>
          <w:rPr>
            <w:rFonts w:ascii="Times New Roman" w:cs="Times New Roman" w:eastAsia="Times New Roman" w:hAnsi="Times New Roman"/>
            <w:sz w:val="16"/>
            <w:szCs w:val="16"/>
            <w:u w:val="single" w:color="auto"/>
            <w:color w:val="0000FF"/>
          </w:rPr>
          <w:t>3.1</w:t>
        </w:r>
      </w:hyperlink>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48" w:lineRule="exact"/>
        <w:rPr>
          <w:sz w:val="20"/>
          <w:szCs w:val="20"/>
          <w:color w:val="auto"/>
        </w:rPr>
      </w:pPr>
    </w:p>
    <w:p>
      <w:pPr>
        <w:ind w:right="60"/>
        <w:spacing w:after="0" w:line="237"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Sales Agreement, dated as of September 11, 2026, between Nautilus Biotechnology, Inc. and TD Securities (USA) LLC (incorporated by</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reference to Exhibit 1.2 to the Company’s Registration Statement on Form S-3 filed with the SEC on September 11, 2026).</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Certificate of Incorporation of Nautilus Biotechnology, Inc. (incorporated by reference to Exhibit 3.1 to the Company’s Current Report on</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Form 8-K filed with the SEC on June 10, 2021)</w:t>
        </w:r>
      </w:hyperlink>
    </w:p>
    <w:p>
      <w:pPr>
        <w:spacing w:after="0" w:line="1" w:lineRule="exact"/>
        <w:rPr>
          <w:sz w:val="20"/>
          <w:szCs w:val="20"/>
          <w:color w:val="auto"/>
        </w:rPr>
      </w:pPr>
    </w:p>
    <w:p>
      <w:pPr>
        <w:sectPr>
          <w:pgSz w:w="11900" w:h="16838" w:orient="portrait"/>
          <w:cols w:equalWidth="0" w:num="2">
            <w:col w:w="740" w:space="480"/>
            <w:col w:w="9940"/>
          </w:cols>
          <w:pgMar w:left="320" w:top="1440" w:right="419" w:bottom="1440" w:gutter="0" w:footer="0" w:header="0"/>
          <w:type w:val="continuous"/>
        </w:sectPr>
      </w:pPr>
    </w:p>
    <w:tbl>
      <w:tblPr>
        <w:tblLayout w:type="fixed"/>
        <w:tblInd w:w="20" w:type="dxa"/>
        <w:tblCellMar>
          <w:top w:w="0" w:type="dxa"/>
          <w:left w:w="0" w:type="dxa"/>
          <w:bottom w:w="0" w:type="dxa"/>
          <w:right w:w="0" w:type="dxa"/>
        </w:tblCellMar>
      </w:tblPr>
      <w:tr>
        <w:trPr>
          <w:trHeight w:val="197"/>
        </w:trPr>
        <w:tc>
          <w:tcPr>
            <w:tcW w:w="200" w:type="dxa"/>
            <w:vAlign w:val="bottom"/>
          </w:tcPr>
          <w:p>
            <w:pPr>
              <w:spacing w:after="0" w:line="170" w:lineRule="exact"/>
              <w:rPr>
                <w:rFonts w:ascii="Times New Roman" w:cs="Times New Roman" w:eastAsia="Times New Roman" w:hAnsi="Times New Roman"/>
                <w:sz w:val="16"/>
                <w:szCs w:val="16"/>
                <w:color w:val="0000FF"/>
                <w:w w:val="89"/>
              </w:rPr>
            </w:pPr>
            <w:hyperlink r:id="rId124">
              <w:r>
                <w:rPr>
                  <w:rFonts w:ascii="Times New Roman" w:cs="Times New Roman" w:eastAsia="Times New Roman" w:hAnsi="Times New Roman"/>
                  <w:sz w:val="16"/>
                  <w:szCs w:val="16"/>
                  <w:color w:val="0000FF"/>
                  <w:w w:val="89"/>
                </w:rPr>
                <w:t>3.</w:t>
              </w:r>
              <w:r>
                <w:rPr>
                  <w:rFonts w:ascii="Times New Roman" w:cs="Times New Roman" w:eastAsia="Times New Roman" w:hAnsi="Times New Roman"/>
                  <w:sz w:val="16"/>
                  <w:szCs w:val="16"/>
                  <w:u w:val="single" w:color="auto"/>
                  <w:color w:val="0000FF"/>
                  <w:w w:val="89"/>
                </w:rPr>
                <w:t>2</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60" w:type="dxa"/>
            <w:vAlign w:val="bottom"/>
            <w:gridSpan w:val="10"/>
          </w:tcPr>
          <w:p>
            <w:pPr>
              <w:spacing w:after="0" w:line="170"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Amended and Restated Bylaws of Nautilus Biotechnology, Inc. (incorporated by reference to Exhibit 3.2 to the Company’s Quarterly</w:t>
              </w:r>
            </w:hyperlink>
          </w:p>
        </w:tc>
      </w:tr>
      <w:tr>
        <w:trPr>
          <w:trHeight w:val="162"/>
        </w:trPr>
        <w:tc>
          <w:tcPr>
            <w:tcW w:w="20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6"/>
          </w:tcPr>
          <w:p>
            <w:pPr>
              <w:spacing w:after="0" w:line="162"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Report on Form 10-Q filed with the SEC on August 2,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62"/>
        </w:trPr>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8"/>
          </w:tcPr>
          <w:p>
            <w:pPr>
              <w:spacing w:after="0" w:line="16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20" w:type="dxa"/>
            <w:vAlign w:val="bottom"/>
          </w:tcPr>
          <w:p>
            <w:pPr>
              <w:spacing w:after="0"/>
              <w:rPr>
                <w:sz w:val="14"/>
                <w:szCs w:val="14"/>
                <w:color w:val="auto"/>
              </w:rPr>
            </w:pPr>
          </w:p>
        </w:tc>
      </w:tr>
      <w:tr>
        <w:trPr>
          <w:trHeight w:val="20"/>
        </w:trPr>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7"/>
        </w:trPr>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62"/>
        </w:trPr>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5"/>
          </w:tcPr>
          <w:p>
            <w:pPr>
              <w:spacing w:after="0" w:line="16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0" w:type="dxa"/>
            <w:vAlign w:val="bottom"/>
            <w:gridSpan w:val="2"/>
          </w:tcPr>
          <w:p>
            <w:pPr>
              <w:spacing w:after="0"/>
              <w:rPr>
                <w:sz w:val="14"/>
                <w:szCs w:val="14"/>
                <w:color w:val="auto"/>
              </w:rPr>
            </w:pPr>
          </w:p>
        </w:tc>
        <w:tc>
          <w:tcPr>
            <w:tcW w:w="240" w:type="dxa"/>
            <w:vAlign w:val="bottom"/>
            <w:gridSpan w:val="2"/>
          </w:tcPr>
          <w:p>
            <w:pPr>
              <w:spacing w:after="0"/>
              <w:rPr>
                <w:sz w:val="14"/>
                <w:szCs w:val="14"/>
                <w:color w:val="auto"/>
              </w:rPr>
            </w:pPr>
          </w:p>
        </w:tc>
      </w:tr>
      <w:tr>
        <w:trPr>
          <w:trHeight w:val="20"/>
        </w:trPr>
        <w:tc>
          <w:tcPr>
            <w:tcW w:w="4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7"/>
        </w:trPr>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4"/>
                <w:szCs w:val="14"/>
                <w:color w:val="0000FF"/>
              </w:rPr>
              <w:t>†</w:t>
            </w:r>
          </w:p>
        </w:tc>
        <w:tc>
          <w:tcPr>
            <w:tcW w:w="98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62"/>
        </w:trPr>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340" w:type="dxa"/>
            <w:vAlign w:val="bottom"/>
            <w:tcBorders>
              <w:top w:val="single" w:sz="8" w:color="0000FF"/>
              <w:bottom w:val="single" w:sz="8" w:color="0000FF"/>
            </w:tcBorders>
          </w:tcPr>
          <w:p>
            <w:pPr>
              <w:spacing w:after="0" w:line="162"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260" w:type="dxa"/>
            <w:vAlign w:val="bottom"/>
            <w:tcBorders>
              <w:top w:val="single" w:sz="8" w:color="0000FF"/>
            </w:tcBorders>
            <w:gridSpan w:val="6"/>
          </w:tcPr>
          <w:p>
            <w:pPr>
              <w:spacing w:after="0"/>
              <w:rPr>
                <w:sz w:val="14"/>
                <w:szCs w:val="14"/>
                <w:color w:val="auto"/>
              </w:rPr>
            </w:pPr>
          </w:p>
        </w:tc>
        <w:tc>
          <w:tcPr>
            <w:tcW w:w="240" w:type="dxa"/>
            <w:vAlign w:val="bottom"/>
            <w:gridSpan w:val="2"/>
          </w:tcPr>
          <w:p>
            <w:pPr>
              <w:spacing w:after="0"/>
              <w:rPr>
                <w:sz w:val="14"/>
                <w:szCs w:val="14"/>
                <w:color w:val="auto"/>
              </w:rPr>
            </w:pPr>
          </w:p>
        </w:tc>
      </w:tr>
      <w:tr>
        <w:trPr>
          <w:trHeight w:val="217"/>
        </w:trPr>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4"/>
                <w:szCs w:val="14"/>
                <w:color w:val="0000FF"/>
              </w:rPr>
              <w:t>†</w:t>
            </w:r>
          </w:p>
        </w:tc>
        <w:tc>
          <w:tcPr>
            <w:tcW w:w="98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62"/>
        </w:trPr>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2"/>
          </w:tcPr>
          <w:p>
            <w:pPr>
              <w:spacing w:after="0" w:line="16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200" w:type="dxa"/>
            <w:vAlign w:val="bottom"/>
            <w:tcBorders>
              <w:top w:val="single" w:sz="8" w:color="0000FF"/>
            </w:tcBorders>
            <w:gridSpan w:val="3"/>
          </w:tcPr>
          <w:p>
            <w:pPr>
              <w:spacing w:after="0"/>
              <w:rPr>
                <w:sz w:val="14"/>
                <w:szCs w:val="14"/>
                <w:color w:val="auto"/>
              </w:rPr>
            </w:pPr>
          </w:p>
        </w:tc>
        <w:tc>
          <w:tcPr>
            <w:tcW w:w="300" w:type="dxa"/>
            <w:vAlign w:val="bottom"/>
            <w:gridSpan w:val="5"/>
          </w:tcPr>
          <w:p>
            <w:pPr>
              <w:spacing w:after="0"/>
              <w:rPr>
                <w:sz w:val="14"/>
                <w:szCs w:val="14"/>
                <w:color w:val="auto"/>
              </w:rPr>
            </w:pPr>
          </w:p>
        </w:tc>
      </w:tr>
      <w:tr>
        <w:trPr>
          <w:trHeight w:val="210"/>
        </w:trPr>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101.INS</w:t>
            </w: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3"/>
        </w:trPr>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101.SCH</w:t>
            </w: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101.CAL</w:t>
            </w: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101.DEF</w:t>
            </w: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9"/>
        </w:trPr>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101.LAB</w:t>
            </w: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101.PRE</w:t>
            </w:r>
          </w:p>
        </w:tc>
        <w:tc>
          <w:tcPr>
            <w:tcW w:w="9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220" w:hanging="1194"/>
        <w:spacing w:after="0"/>
        <w:tabs>
          <w:tab w:leader="none" w:pos="12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1" w:lineRule="exact"/>
        <w:rPr>
          <w:sz w:val="20"/>
          <w:szCs w:val="20"/>
          <w:color w:val="auto"/>
        </w:rPr>
      </w:pPr>
    </w:p>
    <w:p>
      <w:pPr>
        <w:ind w:left="340" w:right="20" w:hanging="332"/>
        <w:spacing w:after="0" w:line="272" w:lineRule="auto"/>
        <w:tabs>
          <w:tab w:leader="none" w:pos="1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85" w:name="page86"/>
    <w:bookmarkEnd w:id="85"/>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83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tc>
      </w:tr>
      <w:tr>
        <w:trPr>
          <w:trHeight w:val="50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8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By:   /s/ Sujal Patel</w:t>
            </w:r>
          </w:p>
        </w:tc>
      </w:tr>
      <w:tr>
        <w:trPr>
          <w:trHeight w:val="218"/>
        </w:trPr>
        <w:tc>
          <w:tcPr>
            <w:tcW w:w="2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2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8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By:   /s/ Anna Mowry</w:t>
            </w:r>
          </w:p>
        </w:tc>
      </w:tr>
      <w:tr>
        <w:trPr>
          <w:trHeight w:val="218"/>
        </w:trPr>
        <w:tc>
          <w:tcPr>
            <w:tcW w:w="2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Anna Mowry</w:t>
            </w:r>
          </w:p>
        </w:tc>
      </w:tr>
      <w:tr>
        <w:trPr>
          <w:trHeight w:val="234"/>
        </w:trPr>
        <w:tc>
          <w:tcPr>
            <w:tcW w:w="2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60"/>
          </w:cols>
          <w:pgMar w:left="320" w:top="1440" w:right="4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Sujal Patel, certify that:</w:t>
      </w:r>
    </w:p>
    <w:p>
      <w:pPr>
        <w:spacing w:after="0" w:line="333"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660" w:right="120" w:hanging="328"/>
        <w:spacing w:after="0" w:line="23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25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Anna Mowry, certify that:</w:t>
      </w:r>
    </w:p>
    <w:p>
      <w:pPr>
        <w:spacing w:after="0" w:line="333"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660" w:right="120" w:hanging="328"/>
        <w:spacing w:after="0" w:line="23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25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September 30, 2026 as filed with the Securities and Exchange Commission on the date hereof (the “Report”), I, Sujal Patel,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25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September 30, 2026 as filed with the Securities and Exchange Commission on the date hereof (the “Report”), I, Anna Mowry,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25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2"/>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decimal"/>
      <w:start w:val="4"/>
    </w:lvl>
  </w:abstractNum>
  <w:abstractNum w:abstractNumId="8">
    <w:nsid w:val="8138641"/>
    <w:multiLevelType w:val="hybridMultilevel"/>
    <w:lvl w:ilvl="0">
      <w:lvlJc w:val="left"/>
      <w:lvlText w:val="%1."/>
      <w:numFmt w:val="decimal"/>
      <w:start w:val="5"/>
    </w:lvl>
  </w:abstractNum>
  <w:abstractNum w:abstractNumId="9">
    <w:nsid w:val="1E7FF521"/>
    <w:multiLevelType w:val="hybridMultilevel"/>
    <w:lvl w:ilvl="0">
      <w:lvlJc w:val="left"/>
      <w:lvlText w:val="%1."/>
      <w:numFmt w:val="decimal"/>
      <w:start w:val="6"/>
    </w:lvl>
  </w:abstractNum>
  <w:abstractNum w:abstractNumId="10">
    <w:nsid w:val="7C3DBD3D"/>
    <w:multiLevelType w:val="hybridMultilevel"/>
    <w:lvl w:ilvl="0">
      <w:lvlJc w:val="left"/>
      <w:lvlText w:val="%1."/>
      <w:numFmt w:val="decimal"/>
      <w:start w:val="7"/>
    </w:lvl>
  </w:abstractNum>
  <w:abstractNum w:abstractNumId="11">
    <w:nsid w:val="737B8DDC"/>
    <w:multiLevelType w:val="hybridMultilevel"/>
    <w:lvl w:ilvl="0">
      <w:lvlJc w:val="left"/>
      <w:lvlText w:val="%1."/>
      <w:numFmt w:val="decimal"/>
      <w:start w:val="8"/>
    </w:lvl>
  </w:abstractNum>
  <w:abstractNum w:abstractNumId="12">
    <w:nsid w:val="6CEAF087"/>
    <w:multiLevelType w:val="hybridMultilevel"/>
    <w:lvl w:ilvl="0">
      <w:lvlJc w:val="left"/>
      <w:lvlText w:val="%1."/>
      <w:numFmt w:val="decimal"/>
      <w:start w:val="9"/>
    </w:lvl>
  </w:abstractNum>
  <w:abstractNum w:abstractNumId="13">
    <w:nsid w:val="22221A70"/>
    <w:multiLevelType w:val="hybridMultilevel"/>
    <w:lvl w:ilvl="0">
      <w:lvlJc w:val="left"/>
      <w:lvlText w:val="%1."/>
      <w:numFmt w:val="decimal"/>
      <w:start w:val="10"/>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04"/>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5" Type="http://schemas.openxmlformats.org/officeDocument/2006/relationships/image" Target="media/image115.png"/><Relationship Id="rId122" Type="http://schemas.openxmlformats.org/officeDocument/2006/relationships/hyperlink" Target="https://www.sec.gov/Archives/edgar/data/1808805/000180880526000040/exhibit12-sx32026.htm" TargetMode="External"/><Relationship Id="rId123" Type="http://schemas.openxmlformats.org/officeDocument/2006/relationships/hyperlink" Target="https://www.sec.gov/Archives/edgar/data/1808805/000162828021011892/exhibit31-form8xkclosing.htm" TargetMode="External"/><Relationship Id="rId124" Type="http://schemas.openxmlformats.org/officeDocument/2006/relationships/hyperlink" Target="https://www.sec.gov/Archives/edgar/data/1808805/000180880523000069/exhibit32-nautilusbiotech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2026-10-27T07:11:11Z</dcterms:created>
  <dcterms:modified xsi:type="dcterms:W3CDTF">2026-10-27T07:11:11Z</dcterms:modified>
</cp:coreProperties>
</file>