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11, 2026</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NAUTILUS BIOTECHNOLOGY, INC.</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6143" w:type="dxa"/>
        <w:jc w:val="center"/>
        <w:tblInd w:w="0" w:type="dxa"/>
        <w:tblLayout w:type="fixed"/>
        <w:tblCellMar>
          <w:top w:w="28" w:type="dxa"/>
          <w:left w:w="28" w:type="dxa"/>
          <w:bottom w:w="28" w:type="dxa"/>
          <w:right w:w="28" w:type="dxa"/>
        </w:tblCellMar>
      </w:tblPr>
      <w:tblGrid>
        <w:gridCol w:w="710"/>
        <w:gridCol w:w="623"/>
        <w:gridCol w:w="632"/>
        <w:gridCol w:w="109"/>
        <w:gridCol w:w="109"/>
        <w:gridCol w:w="109"/>
        <w:gridCol w:w="687"/>
        <w:gridCol w:w="687"/>
        <w:gridCol w:w="695"/>
        <w:gridCol w:w="109"/>
        <w:gridCol w:w="109"/>
        <w:gridCol w:w="109"/>
        <w:gridCol w:w="425"/>
        <w:gridCol w:w="425"/>
        <w:gridCol w:w="605"/>
      </w:tblGrid>
      <w:tr>
        <w:trPr/>
        <w:tc>
          <w:tcPr>
            <w:tcW w:w="71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98-1541723</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r>
          </w:p>
          <w:p>
            <w:pPr>
              <w:pStyle w:val="TableContents"/>
              <w:bidi w:val="0"/>
              <w:spacing w:lineRule="auto" w:line="333" w:before="0" w:after="30"/>
              <w:jc w:val="center"/>
              <w:rPr>
                <w:rFonts w:ascii="Times New Roman;serif" w:hAnsi="Times New Roman;serif"/>
                <w:b w:val="false"/>
                <w:color w:val="000000"/>
                <w:sz w:val="18"/>
              </w:rPr>
            </w:pPr>
            <w:r>
              <w:rPr>
                <w:rFonts w:ascii="Times New Roman;serif" w:hAnsi="Times New Roman;serif"/>
                <w:b w:val="false"/>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333" w:before="0" w:after="3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tbl>
      <w:tblPr>
        <w:tblW w:w="4617" w:type="dxa"/>
        <w:jc w:val="center"/>
        <w:tblInd w:w="0" w:type="dxa"/>
        <w:tblLayout w:type="fixed"/>
        <w:tblCellMar>
          <w:top w:w="28" w:type="dxa"/>
          <w:left w:w="28" w:type="dxa"/>
          <w:bottom w:w="28" w:type="dxa"/>
          <w:right w:w="28" w:type="dxa"/>
        </w:tblCellMar>
      </w:tblPr>
      <w:tblGrid>
        <w:gridCol w:w="1195"/>
        <w:gridCol w:w="1048"/>
        <w:gridCol w:w="1057"/>
        <w:gridCol w:w="109"/>
        <w:gridCol w:w="109"/>
        <w:gridCol w:w="109"/>
        <w:gridCol w:w="290"/>
        <w:gridCol w:w="290"/>
        <w:gridCol w:w="410"/>
      </w:tblGrid>
      <w:tr>
        <w:trPr/>
        <w:tc>
          <w:tcPr>
            <w:tcW w:w="119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2701 Eastlake Avenue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Seattle, Washington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98102</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(206) 333-2001</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24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(Former name or former address, if changed since last report)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47" w:type="dxa"/>
        <w:jc w:val="center"/>
        <w:tblInd w:w="0" w:type="dxa"/>
        <w:tblLayout w:type="fixed"/>
        <w:tblCellMar>
          <w:top w:w="28" w:type="dxa"/>
          <w:left w:w="28" w:type="dxa"/>
          <w:bottom w:w="28" w:type="dxa"/>
          <w:right w:w="28" w:type="dxa"/>
        </w:tblCellMar>
      </w:tblPr>
      <w:tblGrid>
        <w:gridCol w:w="1401"/>
        <w:gridCol w:w="1227"/>
        <w:gridCol w:w="1241"/>
        <w:gridCol w:w="109"/>
        <w:gridCol w:w="109"/>
        <w:gridCol w:w="109"/>
        <w:gridCol w:w="539"/>
        <w:gridCol w:w="539"/>
        <w:gridCol w:w="541"/>
        <w:gridCol w:w="109"/>
        <w:gridCol w:w="109"/>
        <w:gridCol w:w="109"/>
        <w:gridCol w:w="1085"/>
        <w:gridCol w:w="1085"/>
        <w:gridCol w:w="1535"/>
      </w:tblGrid>
      <w:tr>
        <w:trPr/>
        <w:tc>
          <w:tcPr>
            <w:tcW w:w="140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0" w:after="24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Item 1.01</w:t>
      </w:r>
      <w:r>
        <w:rPr>
          <w:rFonts w:ascii="Times New Roman;serif" w:hAnsi="Times New Roman;serif"/>
          <w:b/>
          <w:color w:val="000000"/>
          <w:sz w:val="20"/>
        </w:rPr>
        <w:t>Entry into a Material Definitive Agreement.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September 11, 2026, Nautilus Biotechnology, Inc. (the “Company”) entered into a Sales Agreement (the “Sales Agreement”) with TD Securities (USA), LLC (“TD Cowen”) to sell shares of the Company’s common stock, par value $0.0001 per share (the “Common Stock”), having aggregate sales proceeds of up to $125,000,000, from time to time, through an “at the market” offering program under which TD Cowen will act as sales agent.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Sales Agreement, the Company will set the parameters for the sale of shares, including the number or dollar amount of shares to be issued, the time period during which sales are requested to be made, limitations on the number or dollar amount of shares that may be sold in any one trading day and any minimum price below which sales may not be made. Subject to the terms and conditions of the Sales Agreement, TD Cowen may sell the shares by methods deemed to be an “at the market” offering as defined in Rule 415 promulgated under the Securities Act of 1933, as amended. TD Cowen agreed to use commercially reasonable efforts in conducting such sales activities consistent with its normal trading and sales practices and applicable state and federal laws, rules and regulations and the rules of the Nasdaq Stock Market. The Sales Agreement may be terminated by the Company upon ten days’ notice to TD Cowen for any reason or by TD Cowen upon ten days’ notice to the Company for any reason, or immediately under certain circumstances, including but not limited to the occurrence of a material adverse change in the Company.</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Sales Agreement provides that TD Cowen will be entitled to compensation for its services in an amount equal to up to 3.0% of the gross proceeds of all shares of Common Stock sold through TD Cowen under the Sales Agreement. The Company has no obligation to sell any shares under the Sales Agreement and may at any time suspend solicitation and offers under the Sales Agreement.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shares will be issued pursuant to the Company’s shelf registration statement on Form S-3, including the prospectus supplement contained therein, filed with the Securities and Exchange Commission (the “SEC”) on September 11, 2026 (the “Registration Statement”), once the Registration Statement is declared effective by the SEC.</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foregoing description of the Sales Agreement is not complete and is qualified in its entirety by reference to the full text of such agreement, a copy of which is filed herewith as Exhibit 1.1 to this Current Report on Form 8-K and is incorporated herein by reference.</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Current Report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1.02 Termination of a Material Definitive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September 11, 2026, the Company and TD Cowen (f/k/a Cowen and Company, LLC) mutually terminated the Sales Agreement by and between the Company and TD Cowen dated February 28, 2024 (the “Prior Sales Agreement”). The Prior Sales Agreement provided that the Company may sell its Common Stock, from time to time, through an “at-the-market” equity offering program under which TD Cowen acted as sales agent. None of the Company’s Common Stock was sold under the Prior Sales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foregoing description of the Prior Sales Agreement is not complete and is qualified in its entirety by reference to the full text of the Prior Sales Agreement, a copy of which was filed as Exhibit 1.1 to the Company’s Current Report on Form 8-K filed with the SEC on February 28,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9.01</w:t>
      </w:r>
      <w:r>
        <w:rPr>
          <w:rFonts w:ascii="Times New Roman;serif" w:hAnsi="Times New Roman;serif"/>
          <w:b/>
          <w:color w:val="000000"/>
          <w:sz w:val="20"/>
          <w:shd w:fill="FFFFFF" w:val="clear"/>
        </w:rPr>
        <w:t>Financial Statements and Exhibits.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5"/>
        <w:gridCol w:w="2675"/>
        <w:gridCol w:w="382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11-8xksep2026.htm">
              <w:r>
                <w:rPr>
                  <w:rStyle w:val="InternetLink"/>
                  <w:rFonts w:ascii="Times New Roman;serif" w:hAnsi="Times New Roman;serif"/>
                  <w:b w:val="false"/>
                  <w:color w:val="000080"/>
                  <w:sz w:val="20"/>
                  <w:u w:val="single"/>
                </w:rPr>
                <w:t>Sales Agreement, dated as of September 1</w:t>
              </w:r>
            </w:hyperlink>
            <w:hyperlink w:anchor="exhibit11-8xksep2026.htm">
              <w:r>
                <w:rPr>
                  <w:rStyle w:val="InternetLink"/>
                  <w:rFonts w:ascii="Times New Roman;serif" w:hAnsi="Times New Roman;serif"/>
                  <w:b w:val="false"/>
                  <w:color w:val="000080"/>
                  <w:sz w:val="20"/>
                  <w:u w:val="single"/>
                </w:rPr>
                <w:t>1</w:t>
              </w:r>
            </w:hyperlink>
            <w:hyperlink w:anchor="exhibit11-8xksep2026.htm">
              <w:r>
                <w:rPr>
                  <w:rStyle w:val="InternetLink"/>
                  <w:rFonts w:ascii="Times New Roman;serif" w:hAnsi="Times New Roman;serif"/>
                  <w:b w:val="false"/>
                  <w:color w:val="000080"/>
                  <w:sz w:val="20"/>
                  <w:u w:val="single"/>
                </w:rPr>
                <w:t>, 2026, between Nautilus Biotechnology, Inc. and</w:t>
              </w:r>
            </w:hyperlink>
            <w:hyperlink w:anchor="exhibit11-8xksep2026.htm">
              <w:r>
                <w:rPr>
                  <w:rStyle w:val="InternetLink"/>
                  <w:rFonts w:ascii="Times New Roman;serif" w:hAnsi="Times New Roman;serif"/>
                  <w:b w:val="false"/>
                  <w:color w:val="000080"/>
                  <w:sz w:val="20"/>
                  <w:u w:val="single"/>
                </w:rPr>
                <w:t xml:space="preserve"> TD Securities (USA)</w:t>
              </w:r>
            </w:hyperlink>
            <w:hyperlink w:anchor="exhibit11-8xksep2026.htm">
              <w:r>
                <w:rPr>
                  <w:rStyle w:val="InternetLink"/>
                  <w:rFonts w:ascii="Times New Roman;serif" w:hAnsi="Times New Roman;serif"/>
                  <w:b w:val="false"/>
                  <w:color w:val="000080"/>
                  <w:sz w:val="20"/>
                  <w:u w:val="single"/>
                </w:rPr>
                <w:t xml:space="preserve"> LLC</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240" w:after="240"/>
        <w:jc w:val="both"/>
        <w:rPr/>
      </w:pPr>
      <w:r>
        <w:rPr>
          <w:rFonts w:ascii="Times New Roman;serif" w:hAnsi="Times New Roman;serif"/>
          <w:b w:val="false"/>
          <w:color w:val="000000"/>
          <w:sz w:val="20"/>
        </w:rPr>
        <w:t xml:space="preserve">Dated: </w:t>
      </w:r>
      <w:r>
        <w:rPr>
          <w:rFonts w:ascii="Times New Roman;serif" w:hAnsi="Times New Roman;serif"/>
          <w:b w:val="false"/>
          <w:color w:val="000000"/>
          <w:sz w:val="20"/>
          <w:shd w:fill="FFFFFF" w:val="clear"/>
        </w:rPr>
        <w:t>September 11, 2026</w:t>
      </w:r>
    </w:p>
    <w:tbl>
      <w:tblPr>
        <w:tblW w:w="4014" w:type="dxa"/>
        <w:jc w:val="left"/>
        <w:tblInd w:w="0" w:type="dxa"/>
        <w:tblLayout w:type="fixed"/>
        <w:tblCellMar>
          <w:top w:w="28" w:type="dxa"/>
          <w:left w:w="28" w:type="dxa"/>
          <w:bottom w:w="28" w:type="dxa"/>
          <w:right w:w="28" w:type="dxa"/>
        </w:tblCellMar>
      </w:tblPr>
      <w:tblGrid>
        <w:gridCol w:w="124"/>
        <w:gridCol w:w="109"/>
        <w:gridCol w:w="109"/>
        <w:gridCol w:w="534"/>
        <w:gridCol w:w="534"/>
        <w:gridCol w:w="534"/>
        <w:gridCol w:w="604"/>
        <w:gridCol w:w="604"/>
        <w:gridCol w:w="8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NAUTILUS BIOTECHNOLOGY,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Sujal Patel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Sujal Patel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4"/>
        </w:rPr>
      </w:pPr>
      <w:r>
        <w:rPr>
          <w:rFonts w:ascii="Times New Roman;serif" w:hAnsi="Times New Roman;serif"/>
          <w:b/>
          <w:color w:val="000000"/>
          <w:sz w:val="24"/>
        </w:rPr>
        <w:t>NAUTILUS BIOTECHNOLOGY, INC.</w:t>
      </w:r>
    </w:p>
    <w:p>
      <w:pPr>
        <w:pStyle w:val="TextBody"/>
        <w:bidi w:val="0"/>
        <w:spacing w:lineRule="auto" w:line="288" w:before="0" w:after="100"/>
        <w:jc w:val="center"/>
        <w:rPr>
          <w:rFonts w:ascii="Times New Roman;serif" w:hAnsi="Times New Roman;serif"/>
          <w:b/>
          <w:color w:val="000000"/>
          <w:sz w:val="24"/>
        </w:rPr>
      </w:pPr>
      <w:r>
        <w:rPr>
          <w:rFonts w:ascii="Times New Roman;serif" w:hAnsi="Times New Roman;serif"/>
          <w:b/>
          <w:color w:val="000000"/>
          <w:sz w:val="24"/>
        </w:rPr>
        <w:t>$125,000,000.00</w:t>
      </w:r>
    </w:p>
    <w:p>
      <w:pPr>
        <w:pStyle w:val="TextBody"/>
        <w:bidi w:val="0"/>
        <w:spacing w:lineRule="auto" w:line="288" w:before="0" w:after="100"/>
        <w:jc w:val="center"/>
        <w:rPr>
          <w:rFonts w:ascii="Times New Roman;serif" w:hAnsi="Times New Roman;serif"/>
          <w:b/>
          <w:color w:val="000000"/>
          <w:sz w:val="24"/>
        </w:rPr>
      </w:pPr>
      <w:r>
        <w:rPr>
          <w:rFonts w:ascii="Times New Roman;serif" w:hAnsi="Times New Roman;serif"/>
          <w:b/>
          <w:color w:val="000000"/>
          <w:sz w:val="24"/>
        </w:rPr>
        <w:t>SHARES OF COMMON STOCK, PAR VALUE $0.0001 PER SHARE</w:t>
      </w:r>
    </w:p>
    <w:p>
      <w:pPr>
        <w:pStyle w:val="TextBody"/>
        <w:bidi w:val="0"/>
        <w:spacing w:lineRule="auto" w:line="288" w:before="0" w:after="100"/>
        <w:jc w:val="center"/>
        <w:rPr>
          <w:rFonts w:ascii="Times New Roman;serif" w:hAnsi="Times New Roman;serif"/>
          <w:b/>
          <w:color w:val="000000"/>
          <w:sz w:val="24"/>
          <w:u w:val="single"/>
        </w:rPr>
      </w:pPr>
      <w:r>
        <w:rPr>
          <w:rFonts w:ascii="Times New Roman;serif" w:hAnsi="Times New Roman;serif"/>
          <w:b/>
          <w:color w:val="000000"/>
          <w:sz w:val="24"/>
          <w:u w:val="single"/>
        </w:rPr>
        <w:t>SALES AGREEMENT</w:t>
      </w:r>
    </w:p>
    <w:p>
      <w:pPr>
        <w:pStyle w:val="TextBody"/>
        <w:bidi w:val="0"/>
        <w:spacing w:lineRule="auto" w:line="288" w:before="0" w:after="100"/>
        <w:jc w:val="right"/>
        <w:rPr>
          <w:rFonts w:ascii="Times New Roman;serif" w:hAnsi="Times New Roman;serif"/>
          <w:b w:val="false"/>
          <w:color w:val="000000"/>
          <w:sz w:val="24"/>
        </w:rPr>
      </w:pPr>
      <w:r>
        <w:rPr>
          <w:rFonts w:ascii="Times New Roman;serif" w:hAnsi="Times New Roman;serif"/>
          <w:b w:val="false"/>
          <w:color w:val="000000"/>
          <w:sz w:val="24"/>
        </w:rPr>
        <w:t>September 11, 2026</w:t>
      </w:r>
    </w:p>
    <w:p>
      <w:pPr>
        <w:pStyle w:val="TextBody"/>
        <w:bidi w:val="0"/>
        <w:spacing w:before="0" w:after="10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TD Securities (USA)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 Vanderbilt Avenue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New York, New York 10017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Nautilus Biotechnology, Inc., a Delaware corporation (the “</w:t>
      </w:r>
      <w:r>
        <w:rPr>
          <w:rFonts w:ascii="Times New Roman;serif" w:hAnsi="Times New Roman;serif"/>
          <w:b/>
          <w:color w:val="000000"/>
          <w:sz w:val="24"/>
          <w:u w:val="single"/>
        </w:rPr>
        <w:t>Company</w:t>
      </w:r>
      <w:r>
        <w:rPr>
          <w:color w:val="000000"/>
        </w:rPr>
        <w:t>”</w:t>
      </w:r>
      <w:r>
        <w:rPr>
          <w:rFonts w:ascii="Times New Roman;serif" w:hAnsi="Times New Roman;serif"/>
          <w:b w:val="false"/>
          <w:color w:val="000000"/>
          <w:sz w:val="24"/>
        </w:rPr>
        <w:t>), confirms its agreement (this “</w:t>
      </w:r>
      <w:r>
        <w:rPr>
          <w:rFonts w:ascii="Times New Roman;serif" w:hAnsi="Times New Roman;serif"/>
          <w:b/>
          <w:color w:val="000000"/>
          <w:sz w:val="24"/>
          <w:u w:val="single"/>
        </w:rPr>
        <w:t>Agreement</w:t>
      </w:r>
      <w:r>
        <w:rPr>
          <w:color w:val="000000"/>
        </w:rPr>
        <w:t>”</w:t>
      </w:r>
      <w:r>
        <w:rPr>
          <w:rFonts w:ascii="Times New Roman;serif" w:hAnsi="Times New Roman;serif"/>
          <w:b w:val="false"/>
          <w:color w:val="000000"/>
          <w:sz w:val="24"/>
        </w:rPr>
        <w:t>) with TD Securities (USA) LLC (“</w:t>
      </w:r>
      <w:r>
        <w:rPr>
          <w:rFonts w:ascii="Times New Roman;serif" w:hAnsi="Times New Roman;serif"/>
          <w:b/>
          <w:color w:val="000000"/>
          <w:sz w:val="24"/>
          <w:u w:val="single"/>
        </w:rPr>
        <w:t>TD Cowen</w:t>
      </w:r>
      <w:r>
        <w:rPr>
          <w:color w:val="000000"/>
        </w:rPr>
        <w:t>”</w:t>
      </w:r>
      <w:r>
        <w:rPr>
          <w:rFonts w:ascii="Times New Roman;serif" w:hAnsi="Times New Roman;serif"/>
          <w:b w:val="false"/>
          <w:color w:val="000000"/>
          <w:sz w:val="24"/>
        </w:rPr>
        <w:t>),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Issuance and Sale of Shares</w:t>
      </w:r>
      <w:r>
        <w:rPr>
          <w:rFonts w:ascii="Times New Roman;serif" w:hAnsi="Times New Roman;serif"/>
          <w:b w:val="false"/>
          <w:color w:val="000000"/>
          <w:sz w:val="24"/>
        </w:rPr>
        <w:t>. The Company agrees that, from time to time during the term of this Agreement, on the terms and subject to the conditions set forth herein, it may issue and sell through TD Cowen, acting as agent and/or principal, shares (the “</w:t>
      </w:r>
      <w:r>
        <w:rPr>
          <w:rFonts w:ascii="Times New Roman;serif" w:hAnsi="Times New Roman;serif"/>
          <w:b/>
          <w:color w:val="000000"/>
          <w:sz w:val="24"/>
          <w:u w:val="single"/>
        </w:rPr>
        <w:t>Placement Shares</w:t>
      </w:r>
      <w:r>
        <w:rPr>
          <w:color w:val="000000"/>
        </w:rPr>
        <w:t>”</w:t>
      </w:r>
      <w:r>
        <w:rPr>
          <w:rFonts w:ascii="Times New Roman;serif" w:hAnsi="Times New Roman;serif"/>
          <w:b w:val="false"/>
          <w:color w:val="000000"/>
          <w:sz w:val="24"/>
        </w:rPr>
        <w:t>) of the Company’s common stock, par value $0.0001 per share (the “</w:t>
      </w:r>
      <w:r>
        <w:rPr>
          <w:rFonts w:ascii="Times New Roman;serif" w:hAnsi="Times New Roman;serif"/>
          <w:b/>
          <w:color w:val="000000"/>
          <w:sz w:val="24"/>
          <w:u w:val="single"/>
        </w:rPr>
        <w:t>Common Stock</w:t>
      </w:r>
      <w:r>
        <w:rPr>
          <w:color w:val="000000"/>
        </w:rPr>
        <w:t>”</w:t>
      </w:r>
      <w:r>
        <w:rPr>
          <w:rFonts w:ascii="Times New Roman;serif" w:hAnsi="Times New Roman;serif"/>
          <w:b w:val="false"/>
          <w:color w:val="000000"/>
          <w:sz w:val="24"/>
        </w:rPr>
        <w:t>), having an aggregate offering price of up to $125,000,000.00 (the “</w:t>
      </w:r>
      <w:r>
        <w:rPr>
          <w:rFonts w:ascii="Times New Roman;serif" w:hAnsi="Times New Roman;serif"/>
          <w:b/>
          <w:color w:val="000000"/>
          <w:sz w:val="24"/>
          <w:u w:val="single"/>
        </w:rPr>
        <w:t>Maximum Amount</w:t>
      </w:r>
      <w:r>
        <w:rPr>
          <w:color w:val="000000"/>
        </w:rPr>
        <w:t>”</w:t>
      </w:r>
      <w:r>
        <w:rPr>
          <w:rFonts w:ascii="Times New Roman;serif" w:hAnsi="Times New Roman;serif"/>
          <w:b w:val="false"/>
          <w:color w:val="000000"/>
          <w:sz w:val="24"/>
        </w:rPr>
        <w:t xml:space="preserve">). Notwithstanding anything to the contrary contained herein, the parties hereto agree that compliance with the limitation set forth in this </w:t>
      </w:r>
      <w:r>
        <w:rPr>
          <w:rFonts w:ascii="Times New Roman;serif" w:hAnsi="Times New Roman;serif"/>
          <w:b w:val="false"/>
          <w:color w:val="000000"/>
          <w:sz w:val="24"/>
          <w:u w:val="single"/>
        </w:rPr>
        <w:t>Section 1</w:t>
      </w:r>
      <w:r>
        <w:rPr>
          <w:color w:val="000000"/>
        </w:rPr>
        <w:t xml:space="preserve"> </w:t>
      </w:r>
      <w:r>
        <w:rPr>
          <w:rFonts w:ascii="Times New Roman;serif" w:hAnsi="Times New Roman;serif"/>
          <w:b w:val="false"/>
          <w:color w:val="000000"/>
          <w:sz w:val="24"/>
        </w:rPr>
        <w:t>on the number of shares of Common Stock issued and sold under this Agreement shall be the sole responsibility of the Company, and TD Cowen shall have no obligation in connection with such compliance. The issuance and sale of Common Stock through TD Cowen will be effected pursuant to the Registration Statement (as defined below) filed by the Company and after such Registration Statement has been declared effective by the Securities and Exchange Commission (the “</w:t>
      </w:r>
      <w:r>
        <w:rPr>
          <w:rFonts w:ascii="Times New Roman;serif" w:hAnsi="Times New Roman;serif"/>
          <w:b/>
          <w:color w:val="000000"/>
          <w:sz w:val="24"/>
          <w:u w:val="single"/>
        </w:rPr>
        <w:t>Commission</w:t>
      </w:r>
      <w:r>
        <w:rPr>
          <w:color w:val="000000"/>
        </w:rPr>
        <w:t>”</w:t>
      </w:r>
      <w:r>
        <w:rPr>
          <w:rFonts w:ascii="Times New Roman;serif" w:hAnsi="Times New Roman;serif"/>
          <w:b w:val="false"/>
          <w:color w:val="000000"/>
          <w:sz w:val="24"/>
        </w:rPr>
        <w:t>), although nothing in this Agreement shall be construed as requiring the Company to use the Registration Statement (as defined below) to issue the Placement Shares. The Company acknowledges and agrees that sales of Common Stock under this Agreement may be made through affiliates of TD Cowen, and that TD Cowen may otherwise fulfill its obligations pursuant to this Agreement to or through an affiliated broker-dealer.</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Company has filed or will file, in accordance with the provisions of the Securities Act of 1933, as amended, and the rules and regulations promulgated thereunder (collectively, the “</w:t>
      </w:r>
      <w:r>
        <w:rPr>
          <w:rFonts w:ascii="Times New Roman;serif" w:hAnsi="Times New Roman;serif"/>
          <w:b/>
          <w:color w:val="000000"/>
          <w:sz w:val="24"/>
          <w:u w:val="single"/>
        </w:rPr>
        <w:t>Securities Act</w:t>
      </w:r>
      <w:r>
        <w:rPr>
          <w:color w:val="000000"/>
        </w:rPr>
        <w:t>”</w:t>
      </w:r>
      <w:r>
        <w:rPr>
          <w:rFonts w:ascii="Times New Roman;serif" w:hAnsi="Times New Roman;serif"/>
          <w:b w:val="false"/>
          <w:color w:val="000000"/>
          <w:sz w:val="24"/>
        </w:rPr>
        <w:t>), with the Commission a registration statement on Form S-3, including (a) a base prospectus, relating to certain securities, including the Common Stock, to be issued from time to time by the Company, and (b) a prospectus supplement specifically relating to the Placement Shares (the “</w:t>
      </w:r>
      <w:r>
        <w:rPr>
          <w:rFonts w:ascii="Times New Roman;serif" w:hAnsi="Times New Roman;serif"/>
          <w:b/>
          <w:color w:val="000000"/>
          <w:sz w:val="24"/>
          <w:u w:val="single"/>
        </w:rPr>
        <w:t>ATM</w:t>
      </w:r>
      <w:r>
        <w:rPr>
          <w:color w:val="000000"/>
          <w:u w:val="single"/>
        </w:rPr>
        <w:t xml:space="preserve"> </w:t>
      </w:r>
      <w:r>
        <w:rPr>
          <w:rFonts w:ascii="Times New Roman;serif" w:hAnsi="Times New Roman;serif"/>
          <w:b/>
          <w:color w:val="000000"/>
          <w:sz w:val="24"/>
          <w:u w:val="single"/>
        </w:rPr>
        <w:t>Prospectus Supplement</w:t>
      </w:r>
      <w:r>
        <w:rPr>
          <w:color w:val="000000"/>
        </w:rPr>
        <w:t>”</w:t>
      </w:r>
      <w:r>
        <w:rPr>
          <w:rFonts w:ascii="Times New Roman;serif" w:hAnsi="Times New Roman;serif"/>
          <w:b w:val="false"/>
          <w:color w:val="000000"/>
          <w:sz w:val="24"/>
        </w:rPr>
        <w:t>) to the base prospectus included as part of such registration statement, each of which incorporate by reference documents that the Company has filed or will file in accordance with the provisions of the Securities Exchange Act of 1934, as amended, and the rules and regulations promulgated thereunder (collectively, the “</w:t>
      </w:r>
      <w:r>
        <w:rPr>
          <w:rFonts w:ascii="Times New Roman;serif" w:hAnsi="Times New Roman;serif"/>
          <w:b/>
          <w:color w:val="000000"/>
          <w:sz w:val="24"/>
          <w:u w:val="single"/>
        </w:rPr>
        <w:t>Exchange Act</w:t>
      </w:r>
      <w:r>
        <w:rPr>
          <w:color w:val="000000"/>
        </w:rPr>
        <w:t>”</w:t>
      </w:r>
      <w:r>
        <w:rPr>
          <w:rFonts w:ascii="Times New Roman;serif" w:hAnsi="Times New Roman;serif"/>
          <w:b w:val="false"/>
          <w:color w:val="000000"/>
          <w:sz w:val="24"/>
        </w:rPr>
        <w:t xml:space="preserve">). As soon as practicable following the date that such registration statement is declared effective, the Company shall furnish to TD Cowen, for use by TD Cowen, copies of the prospectus included as part of such registration statement, as supplemented by the ATM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28650"/>
                <wp:effectExtent l="0" t="0" r="0" b="0"/>
                <wp:wrapNone/>
                <wp:docPr id="5" name="Frame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Prospectus Supplement relating to the Placement Shares. Except where the context otherwise requires, such registration statement, and any post-effective amendment thereto,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with respect to the Placement Shares, is herein called the “</w:t>
      </w:r>
      <w:r>
        <w:rPr>
          <w:rFonts w:ascii="Times New Roman;serif" w:hAnsi="Times New Roman;serif"/>
          <w:b/>
          <w:color w:val="000000"/>
          <w:sz w:val="24"/>
          <w:u w:val="single"/>
        </w:rPr>
        <w:t>Registration Statement.</w:t>
      </w:r>
      <w:r>
        <w:rPr>
          <w:color w:val="000000"/>
        </w:rPr>
        <w:t xml:space="preserve">” </w:t>
      </w:r>
      <w:r>
        <w:rPr>
          <w:rFonts w:ascii="Times New Roman;serif" w:hAnsi="Times New Roman;serif"/>
          <w:b w:val="false"/>
          <w:color w:val="000000"/>
          <w:sz w:val="24"/>
        </w:rPr>
        <w:t>Any registration statement and amendments thereto filed pursuant to Rule 462(b) of the Securities Act and relating to the offering covered by the Registration Statement is herein called a “Rule 462(b) Registration Statement” and, after such filing, the “Registration Statement” shall include any Rule 462(b) Registration Statement. The base prospectus, including all documents incorporated therein by reference, included in the Registration Statement, as it may be supplemented by the ATM Prospectus Supplement or any additional prospectus supplement, in the form in which such base prospectus and ATM Prospectus Supplement and/or additional prospectus supplement have most recently been filed by the Company with the Commission pursuant to Rule 424(b) under the Securities Act, together with any “issuer free writing prospectus,” as defined in Rule 433 under the Securities Act (“</w:t>
      </w:r>
      <w:r>
        <w:rPr>
          <w:rFonts w:ascii="Times New Roman;serif" w:hAnsi="Times New Roman;serif"/>
          <w:b/>
          <w:color w:val="000000"/>
          <w:sz w:val="24"/>
          <w:u w:val="single"/>
        </w:rPr>
        <w:t>Rule 433</w:t>
      </w:r>
      <w:r>
        <w:rPr>
          <w:color w:val="000000"/>
        </w:rPr>
        <w:t>”</w:t>
      </w:r>
      <w:r>
        <w:rPr>
          <w:rFonts w:ascii="Times New Roman;serif" w:hAnsi="Times New Roman;serif"/>
          <w:b w:val="false"/>
          <w:color w:val="000000"/>
          <w:sz w:val="24"/>
        </w:rPr>
        <w:t>), relating to the Placement Shares that (i) is consented to by TD Cowen, hereinafter referred to as a “</w:t>
      </w:r>
      <w:r>
        <w:rPr>
          <w:rFonts w:ascii="Times New Roman;serif" w:hAnsi="Times New Roman;serif"/>
          <w:b/>
          <w:color w:val="000000"/>
          <w:sz w:val="24"/>
          <w:u w:val="single"/>
        </w:rPr>
        <w:t>Permitted Free Writing Prospectus</w:t>
      </w:r>
      <w:r>
        <w:rPr>
          <w:rFonts w:ascii="Times New Roman;serif" w:hAnsi="Times New Roman;serif"/>
          <w:b w:val="false"/>
          <w:color w:val="000000"/>
          <w:sz w:val="24"/>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serif" w:hAnsi="Times New Roman;serif"/>
          <w:b/>
          <w:color w:val="000000"/>
          <w:sz w:val="24"/>
          <w:u w:val="single"/>
        </w:rPr>
        <w:t>Prospectus</w:t>
      </w:r>
      <w:r>
        <w:rPr>
          <w:rFonts w:ascii="Times New Roman;serif" w:hAnsi="Times New Roman;serif"/>
          <w:b w:val="false"/>
          <w:color w:val="000000"/>
          <w:sz w:val="24"/>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or any successor thereto (“</w:t>
      </w:r>
      <w:r>
        <w:rPr>
          <w:rFonts w:ascii="Times New Roman;serif" w:hAnsi="Times New Roman;serif"/>
          <w:b/>
          <w:color w:val="000000"/>
          <w:sz w:val="24"/>
          <w:u w:val="single"/>
        </w:rPr>
        <w:t>EDGAR</w:t>
      </w:r>
      <w:r>
        <w:rPr>
          <w:color w:val="000000"/>
        </w:rPr>
        <w:t>”</w:t>
      </w:r>
      <w:r>
        <w:rPr>
          <w:rFonts w:ascii="Times New Roman;serif" w:hAnsi="Times New Roman;serif"/>
          <w:b w:val="false"/>
          <w:color w:val="000000"/>
          <w:sz w:val="24"/>
        </w:rPr>
        <w:t>). The Company’s obligations under this Agreement to furnish, provide, deliver or make available (and all other similar references or obligations) copies of any document or other information shall be deemed satisfied if the same is filed with the Commission through EDGAR.</w:t>
      </w:r>
    </w:p>
    <w:p>
      <w:pPr>
        <w:pStyle w:val="TextBody"/>
        <w:bidi w:val="0"/>
        <w:spacing w:lineRule="auto" w:line="240"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Placements</w:t>
      </w:r>
      <w:r>
        <w:rPr>
          <w:rFonts w:ascii="Times New Roman;serif" w:hAnsi="Times New Roman;serif"/>
          <w:b w:val="false"/>
          <w:color w:val="000000"/>
          <w:sz w:val="24"/>
        </w:rPr>
        <w:t>. Each time that the Company wishes, in its sole discretion, to issue and sell the Placement Shares hereunder (each, a “</w:t>
      </w:r>
      <w:r>
        <w:rPr>
          <w:rFonts w:ascii="Times New Roman;serif" w:hAnsi="Times New Roman;serif"/>
          <w:b/>
          <w:color w:val="000000"/>
          <w:sz w:val="24"/>
          <w:u w:val="single"/>
        </w:rPr>
        <w:t>Placement</w:t>
      </w:r>
      <w:r>
        <w:rPr>
          <w:color w:val="000000"/>
        </w:rPr>
        <w:t>”</w:t>
      </w:r>
      <w:r>
        <w:rPr>
          <w:rFonts w:ascii="Times New Roman;serif" w:hAnsi="Times New Roman;serif"/>
          <w:b w:val="false"/>
          <w:color w:val="000000"/>
          <w:sz w:val="24"/>
        </w:rPr>
        <w:t>), it will notify TD Cowen by email notice (or other method mutually agreed to in writing by the parties) (a “</w:t>
      </w:r>
      <w:r>
        <w:rPr>
          <w:rFonts w:ascii="Times New Roman;serif" w:hAnsi="Times New Roman;serif"/>
          <w:b/>
          <w:color w:val="000000"/>
          <w:sz w:val="24"/>
          <w:u w:val="single"/>
        </w:rPr>
        <w:t>Placement Notice</w:t>
      </w:r>
      <w:r>
        <w:rPr>
          <w:color w:val="000000"/>
        </w:rPr>
        <w:t>”</w:t>
      </w:r>
      <w:r>
        <w:rPr>
          <w:rFonts w:ascii="Times New Roman;serif" w:hAnsi="Times New Roman;serif"/>
          <w:b w:val="false"/>
          <w:color w:val="000000"/>
          <w:sz w:val="24"/>
        </w:rPr>
        <w:t xml:space="preserve">) containing the parameters in accordance with which it desires the Placement Shares to be sold, which shall at a minimum include the number or dollar amount of Placement Shares to be issued, the time period during which sales are requested to be made, any limitation on the number or dollar amount of Placement Shares that may be sold in any one Trading Day (as defined in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and any minimum price below which sales may not be made, a form of which containing such minimum sales parameters necessary is attached hereto as </w:t>
      </w:r>
      <w:r>
        <w:rPr>
          <w:rFonts w:ascii="Times New Roman;serif" w:hAnsi="Times New Roman;serif"/>
          <w:b/>
          <w:color w:val="000000"/>
          <w:sz w:val="24"/>
          <w:u w:val="single"/>
        </w:rPr>
        <w:t>Schedule 1</w:t>
      </w:r>
      <w:r>
        <w:rPr>
          <w:rFonts w:ascii="Times New Roman;serif" w:hAnsi="Times New Roman;serif"/>
          <w:b w:val="false"/>
          <w:color w:val="000000"/>
          <w:sz w:val="24"/>
        </w:rPr>
        <w:t xml:space="preserve">. The Placement Notice shall originate from any of the individuals from the Company set forth on </w:t>
      </w:r>
      <w:r>
        <w:rPr>
          <w:rFonts w:ascii="Times New Roman;serif" w:hAnsi="Times New Roman;serif"/>
          <w:b/>
          <w:color w:val="000000"/>
          <w:sz w:val="24"/>
          <w:u w:val="single"/>
        </w:rPr>
        <w:t>Schedule 2</w:t>
      </w:r>
      <w:r>
        <w:rPr>
          <w:color w:val="000000"/>
        </w:rPr>
        <w:t xml:space="preserve"> </w:t>
      </w:r>
      <w:r>
        <w:rPr>
          <w:rFonts w:ascii="Times New Roman;serif" w:hAnsi="Times New Roman;serif"/>
          <w:b w:val="false"/>
          <w:color w:val="000000"/>
          <w:sz w:val="24"/>
        </w:rPr>
        <w:t xml:space="preserve">(with a copy to each of the other individuals from the Company listed on such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schedule), and shall be addressed to each of the individuals from TD Cowen set forth on </w:t>
      </w:r>
      <w:r>
        <w:rPr>
          <w:rFonts w:ascii="Times New Roman;serif" w:hAnsi="Times New Roman;serif"/>
          <w:b/>
          <w:color w:val="000000"/>
          <w:sz w:val="24"/>
          <w:u w:val="single"/>
        </w:rPr>
        <w:t>Schedule 2</w:t>
      </w:r>
      <w:r>
        <w:rPr>
          <w:rFonts w:ascii="Times New Roman;serif" w:hAnsi="Times New Roman;serif"/>
          <w:b w:val="false"/>
          <w:color w:val="000000"/>
          <w:sz w:val="24"/>
        </w:rPr>
        <w:t xml:space="preserve">, as such </w:t>
      </w:r>
      <w:r>
        <w:rPr>
          <w:rFonts w:ascii="Times New Roman;serif" w:hAnsi="Times New Roman;serif"/>
          <w:b/>
          <w:color w:val="000000"/>
          <w:sz w:val="24"/>
          <w:u w:val="single"/>
        </w:rPr>
        <w:t>Schedule 2</w:t>
      </w:r>
      <w:r>
        <w:rPr>
          <w:color w:val="000000"/>
        </w:rPr>
        <w:t xml:space="preserve"> </w:t>
      </w:r>
      <w:r>
        <w:rPr>
          <w:rFonts w:ascii="Times New Roman;serif" w:hAnsi="Times New Roman;serif"/>
          <w:b w:val="false"/>
          <w:color w:val="000000"/>
          <w:sz w:val="24"/>
        </w:rPr>
        <w:t xml:space="preserve">may be amended from time to time. The Placement Notice shall be effective upon receipt by TD Cowen unless and until (i) in accordance with the notice requirements set forth in </w:t>
      </w:r>
      <w:r>
        <w:rPr>
          <w:rFonts w:ascii="Times New Roman;serif" w:hAnsi="Times New Roman;serif"/>
          <w:b w:val="false"/>
          <w:color w:val="000000"/>
          <w:sz w:val="24"/>
          <w:u w:val="single"/>
        </w:rPr>
        <w:t>Section 4</w:t>
      </w:r>
      <w:r>
        <w:rPr>
          <w:rFonts w:ascii="Times New Roman;serif" w:hAnsi="Times New Roman;serif"/>
          <w:b w:val="false"/>
          <w:color w:val="000000"/>
          <w:sz w:val="24"/>
        </w:rPr>
        <w:t xml:space="preserve">, TD Cowen declines to accept the terms contained therein for any reason, in its sole discretion, provided that any such declination must occur within two (2) Business Days of the receipt of the Placement Notice, (ii) the entire amount of the Placement Shares thereunder have been sold, (iii) in accordance with the notice requirements set forth in </w:t>
      </w:r>
      <w:r>
        <w:rPr>
          <w:rFonts w:ascii="Times New Roman;serif" w:hAnsi="Times New Roman;serif"/>
          <w:b w:val="false"/>
          <w:color w:val="000000"/>
          <w:sz w:val="24"/>
          <w:u w:val="single"/>
        </w:rPr>
        <w:t>Section 4</w:t>
      </w:r>
      <w:r>
        <w:rPr>
          <w:rFonts w:ascii="Times New Roman;serif" w:hAnsi="Times New Roman;serif"/>
          <w:b w:val="false"/>
          <w:color w:val="000000"/>
          <w:sz w:val="24"/>
        </w:rPr>
        <w:t xml:space="preserve">, the Company suspends or terminates the Placement Notice, (iv) the Company issues a subsequent Placement Notice with parameters superseding or amending those on the earlier dated Placement Notice for any reason in its sole discretion, or (v) this Agreement has been terminated under the provisions of </w:t>
      </w: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The amount of any discount, commission or other compensation to be paid by the Company to TD Cowen in connection with the sale of the Placement Shares shall be calculated in accordance with the terms set forth in </w:t>
      </w:r>
      <w:r>
        <w:rPr>
          <w:rFonts w:ascii="Times New Roman;serif" w:hAnsi="Times New Roman;serif"/>
          <w:b/>
          <w:color w:val="000000"/>
          <w:sz w:val="24"/>
          <w:u w:val="single"/>
        </w:rPr>
        <w:t>Schedule 3</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It is expressly acknowledged and agreed that neither the Company nor TD Cowen will have any obligation whatsoever with respect to a Placement or any Placement Shares unless and until the Company delivers a Placement Notice to TD Cowen and TD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pStyle w:val="TextBody"/>
        <w:bidi w:val="0"/>
        <w:spacing w:lineRule="auto" w:line="240"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Sale of Placement Shares by TD Cowen.</w:t>
      </w:r>
      <w:r>
        <w:rPr>
          <w:color w:val="000000"/>
        </w:rPr>
        <w:t xml:space="preserve"> </w:t>
      </w:r>
      <w:r>
        <w:rPr>
          <w:rFonts w:ascii="Times New Roman;serif" w:hAnsi="Times New Roman;serif"/>
          <w:b w:val="false"/>
          <w:color w:val="000000"/>
          <w:sz w:val="24"/>
        </w:rPr>
        <w:t>Subject to the terms and conditions herein set forth, upon the Company’s delivery of a Placement Notice, and unless the sale of the Placement Shares described therein has been declined, suspended, or otherwise terminated in accordance with the terms of this Agreement, TD Cowen, for the period specified in the Placement Notice, will use its commercially reasonable efforts consistent with its normal trading and sales practices and applicable state and federal laws, rules and regulations and the applicable rules of the Nasdaq Stock Market (“</w:t>
      </w:r>
      <w:r>
        <w:rPr>
          <w:rFonts w:ascii="Times New Roman;serif" w:hAnsi="Times New Roman;serif"/>
          <w:b/>
          <w:color w:val="000000"/>
          <w:sz w:val="24"/>
          <w:u w:val="single"/>
        </w:rPr>
        <w:t>Nasdaq</w:t>
      </w:r>
      <w:r>
        <w:rPr>
          <w:color w:val="000000"/>
        </w:rPr>
        <w:t>”</w:t>
      </w:r>
      <w:r>
        <w:rPr>
          <w:rFonts w:ascii="Times New Roman;serif" w:hAnsi="Times New Roman;serif"/>
          <w:b w:val="false"/>
          <w:color w:val="000000"/>
          <w:sz w:val="24"/>
        </w:rPr>
        <w:t xml:space="preserve">) to sell such Placement Shares up to the amount specified in such Placement Notice, and otherwise in accordance with the terms of such Placement Notice. TD Cowen will provide written confirmation to the Company (including by email correspondence to each of the individuals of the Company set forth on </w:t>
      </w:r>
      <w:r>
        <w:rPr>
          <w:rFonts w:ascii="Times New Roman;serif" w:hAnsi="Times New Roman;serif"/>
          <w:b/>
          <w:color w:val="000000"/>
          <w:sz w:val="24"/>
          <w:u w:val="single"/>
        </w:rPr>
        <w:t>Schedule 2</w:t>
      </w:r>
      <w:r>
        <w:rPr>
          <w:rFonts w:ascii="Times New Roman;serif" w:hAnsi="Times New Roman;serif"/>
          <w:b w:val="false"/>
          <w:color w:val="000000"/>
          <w:sz w:val="24"/>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TD Cowen for a sale of Placement Shares that would constitute a “block” within the meaning of Rule 10b-18(a)(5) under the Exchange Act (a “</w:t>
      </w:r>
      <w:r>
        <w:rPr>
          <w:rFonts w:ascii="Times New Roman;serif" w:hAnsi="Times New Roman;serif"/>
          <w:b/>
          <w:color w:val="000000"/>
          <w:sz w:val="24"/>
          <w:u w:val="single"/>
        </w:rPr>
        <w:t>Block Sale</w:t>
      </w:r>
      <w:r>
        <w:rPr>
          <w:color w:val="000000"/>
        </w:rPr>
        <w:t>”</w:t>
      </w:r>
      <w:r>
        <w:rPr>
          <w:rFonts w:ascii="Times New Roman;serif" w:hAnsi="Times New Roman;serif"/>
          <w:b w:val="false"/>
          <w:color w:val="000000"/>
          <w:sz w:val="24"/>
        </w:rPr>
        <w:t xml:space="preserve">), the Company will provide TD Cowen, at TD Cowen’s request and upon reasonable advance notice to the Company, on or prior to the Settlement Date (as defined below), the opinions of counsel, accountant’s letter and officers’ certificates set forth in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hereof, each dated the Settlement Date, and such other documents and information as TD Cowen shall reasonably request. Subject to the terms and conditions of the applicable Placement Notice, TD Cowen may sell Placement Shares in negotiated transactions, including block trades or Block Sales, or by any method permitted by law deemed to be an “at the market” offering as defined in Rule 415 of the Securities Act, including without limitation sales made through Nasdaq or on any other existing trading market for the Common Stock, or by any other method permitted by law. TD Cowen shall not purchase Placement Shares for its own account as principal unless expressly authorized to do so by the Company in a Placement Notice. The Company acknowledges and agrees that (i) there can be no assurance that TD Cowen will be successful in selling Placement Shares, and (ii) TD Cowen will incur no liability or obligation to the Company or any other person or entity if it does not sell Placement Shares for any reason other than a failure by TD Cowen to use its commercially reasonable efforts consistent with its normal trading and sales practices to sell such Placement Shares as required under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For </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7"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the purposes hereof, “</w:t>
      </w:r>
      <w:r>
        <w:rPr>
          <w:rFonts w:ascii="Times New Roman;serif" w:hAnsi="Times New Roman;serif"/>
          <w:b/>
          <w:color w:val="000000"/>
          <w:sz w:val="24"/>
          <w:u w:val="single"/>
        </w:rPr>
        <w:t>Trading Day</w:t>
      </w:r>
      <w:r>
        <w:rPr>
          <w:color w:val="000000"/>
        </w:rPr>
        <w:t xml:space="preserve">” </w:t>
      </w:r>
      <w:r>
        <w:rPr>
          <w:rFonts w:ascii="Times New Roman;serif" w:hAnsi="Times New Roman;serif"/>
          <w:b w:val="false"/>
          <w:color w:val="000000"/>
          <w:sz w:val="24"/>
        </w:rPr>
        <w:t>means any day on which the Company’s Common Stock is purchased and sold on the principal market on which the Common Stock is listed or quoted.</w:t>
      </w:r>
    </w:p>
    <w:p>
      <w:pPr>
        <w:pStyle w:val="TextBody"/>
        <w:bidi w:val="0"/>
        <w:spacing w:lineRule="auto" w:line="288" w:before="0" w:after="240"/>
        <w:jc w:val="both"/>
        <w:rPr/>
      </w:pPr>
      <w:r>
        <w:rPr>
          <w:rFonts w:ascii="Times New Roman;serif" w:hAnsi="Times New Roman;serif"/>
          <w:b w:val="false"/>
          <w:color w:val="000000"/>
          <w:sz w:val="24"/>
        </w:rPr>
        <w:t>4.  </w:t>
      </w:r>
      <w:r>
        <w:rPr>
          <w:rFonts w:ascii="Times New Roman;serif" w:hAnsi="Times New Roman;serif"/>
          <w:b w:val="false"/>
          <w:color w:val="000000"/>
          <w:sz w:val="24"/>
        </w:rPr>
        <w:t>Notwithstanding any other provision of this Agreement, the Company shall not offer, sell or deliver, or request the offer or sale, of any Placement Shares pursuant to this Agreement and, by notice to TD Cowen given by telephone (confirmed promptly by email), shall cancel any instructions for the offer or sale of any Placement Shares, and TD Cowen shall not be obligated to offer or sell any Placement Shares, (i) during any period in which the Company is, or could reasonably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serif" w:hAnsi="Times New Roman;serif"/>
          <w:b/>
          <w:color w:val="000000"/>
          <w:sz w:val="24"/>
          <w:u w:val="single"/>
        </w:rPr>
        <w:t>Earnings Announcement</w:t>
      </w:r>
      <w:r>
        <w:rPr>
          <w:color w:val="000000"/>
        </w:rPr>
        <w:t>”</w:t>
      </w:r>
      <w:r>
        <w:rPr>
          <w:rFonts w:ascii="Times New Roman;serif" w:hAnsi="Times New Roman;serif"/>
          <w:b w:val="false"/>
          <w:color w:val="000000"/>
          <w:sz w:val="24"/>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Suspension of Sales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rPr>
        <w:t xml:space="preserve">(a)    The Company or TD Cowen may, upon notice to the other party in writing (including by email correspondence to each of the individuals of the other party set forth on </w:t>
      </w:r>
      <w:r>
        <w:rPr>
          <w:rFonts w:ascii="Times New Roman;serif" w:hAnsi="Times New Roman;serif"/>
          <w:b/>
          <w:color w:val="000000"/>
          <w:sz w:val="24"/>
          <w:u w:val="single"/>
        </w:rPr>
        <w:t>Schedule 2</w:t>
      </w:r>
      <w:r>
        <w:rPr>
          <w:rFonts w:ascii="Times New Roman;serif" w:hAnsi="Times New Roman;serif"/>
          <w:b w:val="false"/>
          <w:color w:val="000000"/>
          <w:sz w:val="24"/>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serif" w:hAnsi="Times New Roman;serif"/>
          <w:b/>
          <w:color w:val="000000"/>
          <w:sz w:val="24"/>
          <w:u w:val="single"/>
        </w:rPr>
        <w:t>Schedule 2</w:t>
      </w:r>
      <w:r>
        <w:rPr>
          <w:rFonts w:ascii="Times New Roman;serif" w:hAnsi="Times New Roman;serif"/>
          <w:b w:val="false"/>
          <w:color w:val="000000"/>
          <w:sz w:val="24"/>
        </w:rPr>
        <w:t xml:space="preserve">), suspend any sale of Placement Shares;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such suspension shall not affect or impair either party’s obligations with respect to any Placement Shares sold hereunder prior to the receipt of such notice. While a suspension is in effect, any obligation under Sections 7(m), 7(n), 7(o), 7(p) and 7(q) with respect to the delivery of certificates, opinions, or comfort letters to TD Cowen, shall be waived. Each of the parties agrees that no such notice under this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shall be effective against the other unless it is made to one of the individuals named on </w:t>
      </w:r>
      <w:r>
        <w:rPr>
          <w:rFonts w:ascii="Times New Roman;serif" w:hAnsi="Times New Roman;serif"/>
          <w:b/>
          <w:color w:val="000000"/>
          <w:sz w:val="24"/>
          <w:u w:val="single"/>
        </w:rPr>
        <w:t>Schedule 2</w:t>
      </w:r>
      <w:r>
        <w:rPr>
          <w:color w:val="000000"/>
        </w:rPr>
        <w:t xml:space="preserve"> </w:t>
      </w:r>
      <w:r>
        <w:rPr>
          <w:rFonts w:ascii="Times New Roman;serif" w:hAnsi="Times New Roman;serif"/>
          <w:b w:val="false"/>
          <w:color w:val="000000"/>
          <w:sz w:val="24"/>
        </w:rPr>
        <w:t>hereto, as such schedule may be amended in writing from time to time.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    Notwithstanding any other provision of this Agreement, during any period in which the Registration Statement is no longer effective under the Securities Act, the Company shall promptly notify TD Cowen, the Company shall not request the sale of any Placement Shares, and TD Cowen shall not be obligated to sell or offer to sell any Placement Shares.</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Settlement.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(a) </w:t>
      </w:r>
      <w:r>
        <w:rPr>
          <w:color w:val="000000"/>
        </w:rPr>
        <w:t>    </w:t>
      </w:r>
      <w:r>
        <w:rPr>
          <w:rFonts w:ascii="Times New Roman;serif" w:hAnsi="Times New Roman;serif"/>
          <w:b w:val="false"/>
          <w:color w:val="000000"/>
          <w:sz w:val="24"/>
          <w:u w:val="single"/>
        </w:rPr>
        <w:t>Settlement of Placement Shares</w:t>
      </w:r>
      <w:r>
        <w:rPr>
          <w:rFonts w:ascii="Times New Roman;serif" w:hAnsi="Times New Roman;serif"/>
          <w:b w:val="false"/>
          <w:color w:val="000000"/>
          <w:sz w:val="24"/>
        </w:rPr>
        <w:t>. Unless otherwise specified in the applicable Placement Notice, settlement for sales of Placement Shares will occur on the first (1</w:t>
      </w:r>
      <w:r>
        <w:rPr>
          <w:rFonts w:ascii="Times New Roman;serif" w:hAnsi="Times New Roman;serif"/>
          <w:b w:val="false"/>
          <w:color w:val="000000"/>
          <w:sz w:val="16"/>
        </w:rPr>
        <w:t>st</w:t>
      </w:r>
      <w:r>
        <w:rPr>
          <w:rFonts w:ascii="Times New Roman;serif" w:hAnsi="Times New Roman;serif"/>
          <w:b w:val="false"/>
          <w:color w:val="000000"/>
          <w:sz w:val="24"/>
        </w:rPr>
        <w:t>) Trading Day following the trade date on which such sales are made (each, a “</w:t>
      </w:r>
      <w:r>
        <w:rPr>
          <w:rFonts w:ascii="Times New Roman;serif" w:hAnsi="Times New Roman;serif"/>
          <w:b/>
          <w:color w:val="000000"/>
          <w:sz w:val="24"/>
          <w:u w:val="single"/>
        </w:rPr>
        <w:t>Settlement Date</w:t>
      </w:r>
      <w:r>
        <w:rPr>
          <w:color w:val="000000"/>
        </w:rPr>
        <w:t xml:space="preserve">” </w:t>
      </w:r>
      <w:r>
        <w:rPr>
          <w:rFonts w:ascii="Times New Roman;serif" w:hAnsi="Times New Roman;serif"/>
          <w:b w:val="false"/>
          <w:color w:val="000000"/>
          <w:sz w:val="24"/>
        </w:rPr>
        <w:t>and the first such Settlement Date, the “</w:t>
      </w:r>
      <w:r>
        <w:rPr>
          <w:rFonts w:ascii="Times New Roman;serif" w:hAnsi="Times New Roman;serif"/>
          <w:b/>
          <w:color w:val="000000"/>
          <w:sz w:val="24"/>
          <w:u w:val="single"/>
        </w:rPr>
        <w:t>First Delivery Date</w:t>
      </w:r>
      <w:r>
        <w:rPr>
          <w:color w:val="000000"/>
        </w:rPr>
        <w:t>”</w:t>
      </w:r>
      <w:r>
        <w:rPr>
          <w:rFonts w:ascii="Times New Roman;serif" w:hAnsi="Times New Roman;serif"/>
          <w:b w:val="false"/>
          <w:color w:val="000000"/>
          <w:sz w:val="24"/>
        </w:rPr>
        <w:t>). The amount of proceeds to be delivered to the Company on a Settlement Date against receipt of the Placement Shares sold (the “</w:t>
      </w:r>
      <w:r>
        <w:rPr>
          <w:rFonts w:ascii="Times New Roman;serif" w:hAnsi="Times New Roman;serif"/>
          <w:b/>
          <w:color w:val="000000"/>
          <w:sz w:val="24"/>
          <w:u w:val="single"/>
        </w:rPr>
        <w:t>Net Proceeds</w:t>
      </w:r>
      <w:r>
        <w:rPr>
          <w:color w:val="000000"/>
        </w:rPr>
        <w:t>”</w:t>
      </w:r>
      <w:r>
        <w:rPr>
          <w:rFonts w:ascii="Times New Roman;serif" w:hAnsi="Times New Roman;serif"/>
          <w:b w:val="false"/>
          <w:color w:val="000000"/>
          <w:sz w:val="24"/>
        </w:rPr>
        <w:t xml:space="preserve">) will be equal to the aggregate sales price received by TD Cowen at which such Placement Shares were sold, after deduction for (i) TD Cowen’s commission, discount or other compensation for such sales payable by the Company pursuant to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hereof, (ii) any other amounts due and payable by the Company to TD Cowen hereunder pursuant to </w:t>
      </w:r>
      <w:r>
        <w:rPr>
          <w:rFonts w:ascii="Times New Roman;serif" w:hAnsi="Times New Roman;serif"/>
          <w:b w:val="false"/>
          <w:color w:val="000000"/>
          <w:sz w:val="24"/>
          <w:u w:val="single"/>
        </w:rPr>
        <w:t>Section 7(g)</w:t>
      </w:r>
      <w:r>
        <w:rPr>
          <w:color w:val="000000"/>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(Expenses) hereof, and (iii) any transaction fees imposed by any governmental or self-regulatory organization in respect of such sales.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 </w:t>
      </w:r>
      <w:r>
        <w:rPr>
          <w:color w:val="000000"/>
        </w:rPr>
        <w:t>    </w:t>
      </w:r>
      <w:r>
        <w:rPr>
          <w:rFonts w:ascii="Times New Roman;serif" w:hAnsi="Times New Roman;serif"/>
          <w:b w:val="false"/>
          <w:color w:val="000000"/>
          <w:sz w:val="24"/>
          <w:u w:val="single"/>
        </w:rPr>
        <w:t>Delivery of Placement Shares</w:t>
      </w:r>
      <w:r>
        <w:rPr>
          <w:rFonts w:ascii="Times New Roman;serif" w:hAnsi="Times New Roman;serif"/>
          <w:b w:val="false"/>
          <w:color w:val="000000"/>
          <w:sz w:val="24"/>
        </w:rPr>
        <w:t xml:space="preserve">. On or before each Settlement Date, the Company will, or will cause its transfer agent to, electronically transfer the Placement Shares being sold by crediting TD Cowen’s or its designee’s account (provided TD Cowen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TD Cowen will deliver the related Net Proceeds in same day funds to an account designated by the Company on, or prior to, the Settlement Date. TD Cowen will be responsible for providing DWAC instructions or instructions for delivery by other means with regard to the transfer of the Placement Shares being sold. The Company agrees that if the Company, or its transfer agent (if applicable), defaults in its obligation to deliver duly authorized Placement Shares on a Settlement Date through no fault of TD Cowen, in addition to and in no way limiting the rights and obligations set forth in </w:t>
      </w:r>
      <w:r>
        <w:rPr>
          <w:rFonts w:ascii="Times New Roman;serif" w:hAnsi="Times New Roman;serif"/>
          <w:b w:val="false"/>
          <w:color w:val="000000"/>
          <w:sz w:val="24"/>
          <w:u w:val="single"/>
        </w:rPr>
        <w:t>Section 9(a)</w:t>
      </w:r>
      <w:r>
        <w:rPr>
          <w:color w:val="000000"/>
        </w:rPr>
        <w:t xml:space="preserve"> </w:t>
      </w:r>
      <w:r>
        <w:rPr>
          <w:rFonts w:ascii="Times New Roman;serif" w:hAnsi="Times New Roman;serif"/>
          <w:b w:val="false"/>
          <w:color w:val="000000"/>
          <w:sz w:val="24"/>
        </w:rPr>
        <w:t>(Indemnification and Contribution) hereto, it will (i) hold TD Cowen harmless against any loss, claim, damage, or reasonable and documented expense (including reasonable and documented legal fees and expenses), as incurred, arising out of or in connection with such default by the Company and (ii) pay to TD Cowen (without duplication) any commission, discount, or other compensation to which it would otherwise have been entitled absent such default.</w:t>
      </w:r>
    </w:p>
    <w:p>
      <w:pPr>
        <w:pStyle w:val="TextBody"/>
        <w:bidi w:val="0"/>
        <w:spacing w:lineRule="auto" w:line="240" w:before="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Representations and Warranties of the Company</w:t>
      </w:r>
      <w:r>
        <w:rPr>
          <w:rFonts w:ascii="Times New Roman;serif" w:hAnsi="Times New Roman;serif"/>
          <w:b w:val="false"/>
          <w:color w:val="000000"/>
          <w:sz w:val="24"/>
        </w:rPr>
        <w:t>. Except as disclosed in the Registration Statement or the Prospectus, the Company represents and warrants to, and agrees with, TD Cowen that, unless such representation, warranty or agreement specifies a different time, as of (i) the date of this Agreement, (ii) each Time of Sale (as defined below), (iii) each Settlement Date, and (iv) each Bring-Down Date (as defined below) (each date included in (i) through (iv), a “</w:t>
      </w:r>
      <w:r>
        <w:rPr>
          <w:rFonts w:ascii="Times New Roman;serif" w:hAnsi="Times New Roman;serif"/>
          <w:b/>
          <w:color w:val="000000"/>
          <w:sz w:val="24"/>
          <w:u w:val="single"/>
        </w:rPr>
        <w:t>Representation Date</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 </w:t>
      </w:r>
      <w:r>
        <w:rPr>
          <w:color w:val="000000"/>
        </w:rPr>
        <w:t>    </w:t>
      </w:r>
      <w:r>
        <w:rPr>
          <w:rFonts w:ascii="Times New Roman;serif" w:hAnsi="Times New Roman;serif"/>
          <w:b w:val="false"/>
          <w:color w:val="000000"/>
          <w:sz w:val="24"/>
          <w:u w:val="single"/>
        </w:rPr>
        <w:t>Compliance with Registration Requirements</w:t>
      </w:r>
      <w:r>
        <w:rPr>
          <w:rFonts w:ascii="Times New Roman;serif" w:hAnsi="Times New Roman;serif"/>
          <w:b w:val="false"/>
          <w:color w:val="000000"/>
          <w:sz w:val="24"/>
        </w:rPr>
        <w:t>. Prior to the issuance of any Placement Notice by the Company, the Registration Statement and any Rule 462(b) Registration Statement with respect to the Registration Statement will have been filed and declared effective by the Commission under the Securities Act. The Company has complied, or will comply, to the Commission’s satisfaction, with all requests of the Commission for additional or supplemental information related to the Registration Statement. No stop order suspending the effectiveness of the Registration Statement or any Rule 462(b) Registration Statement is in effect and no proceedings for such purpose have been instituted or are pending or, to the knowledge of the Company, threatened by the Commission. The Company meets the requirements for use of Form S-3 under the Securities Act. The sale of the Placement Shares hereunder meets the requirements of General Instruction I.B.1 of Form S-3.</w:t>
      </w:r>
    </w:p>
    <w:p>
      <w:pPr>
        <w:pStyle w:val="TextBody"/>
        <w:bidi w:val="0"/>
        <w:spacing w:lineRule="auto" w:line="240" w:before="0" w:after="240"/>
        <w:ind w:left="0" w:right="0" w:firstLine="720"/>
        <w:jc w:val="both"/>
        <w:rPr/>
      </w:pPr>
      <w:r>
        <w:rPr>
          <w:rFonts w:ascii="Times New Roman;serif" w:hAnsi="Times New Roman;serif"/>
          <w:b w:val="false"/>
          <w:color w:val="000000"/>
          <w:sz w:val="24"/>
        </w:rPr>
        <w:t>(b) </w:t>
      </w:r>
      <w:r>
        <w:rPr>
          <w:color w:val="000000"/>
        </w:rPr>
        <w:t xml:space="preserve">     </w:t>
      </w:r>
      <w:r>
        <w:rPr>
          <w:rFonts w:ascii="Times New Roman;serif" w:hAnsi="Times New Roman;serif"/>
          <w:b w:val="false"/>
          <w:color w:val="000000"/>
          <w:sz w:val="24"/>
          <w:u w:val="single"/>
        </w:rPr>
        <w:t>No Misstatement or Omission</w:t>
      </w:r>
      <w:r>
        <w:rPr>
          <w:rFonts w:ascii="Times New Roman;serif" w:hAnsi="Times New Roman;serif"/>
          <w:b w:val="false"/>
          <w:color w:val="000000"/>
          <w:sz w:val="24"/>
        </w:rPr>
        <w:t>. The Prospectus, when filed will comply and, as amended or supplemented, if applicable, will comply in all material respects with the Securities Act. Each of the Registration Statement, any Rule 462(b) Registration Statement, the Prospectus and any post-effective amendments or supplements thereto, at the time it becomes effective or its date, as applicable, will comply and as of each Representation Date, the date on which a Placement Notice is given and any date on which Placement Shares are sold hereunder (each, an “</w:t>
      </w:r>
      <w:r>
        <w:rPr>
          <w:rFonts w:ascii="Times New Roman;serif" w:hAnsi="Times New Roman;serif"/>
          <w:b/>
          <w:color w:val="000000"/>
          <w:sz w:val="24"/>
          <w:u w:val="single"/>
        </w:rPr>
        <w:t>Applicable Time</w:t>
      </w:r>
      <w:r>
        <w:rPr>
          <w:color w:val="000000"/>
        </w:rPr>
        <w:t>”</w:t>
      </w:r>
      <w:r>
        <w:rPr>
          <w:rFonts w:ascii="Times New Roman;serif" w:hAnsi="Times New Roman;serif"/>
          <w:b w:val="false"/>
          <w:color w:val="000000"/>
          <w:sz w:val="24"/>
        </w:rPr>
        <w:t xml:space="preserve">), will comply in all material respects with the Securities Act and, as of each Applicable Time, will not contain any untrue statement of a material fact or omit to state a material fact required to be stated therein or necessary to make the statements therein not misleading. The Prospectus, as amended or supplemented, as of its date, and, as of each Applicable Time, will not contain any untrue statement of a material fact or omit to state a material fact necessary in order to make the statements therein, in the light of the circumstances </w:t>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serif" w:hAnsi="Times New Roman;serif"/>
          <w:b/>
          <w:color w:val="000000"/>
          <w:sz w:val="24"/>
          <w:u w:val="single"/>
        </w:rPr>
        <w:t>Time of Sale</w:t>
      </w:r>
      <w:r>
        <w:rPr>
          <w:color w:val="000000"/>
        </w:rPr>
        <w:t xml:space="preserve">” </w:t>
      </w:r>
      <w:r>
        <w:rPr>
          <w:rFonts w:ascii="Times New Roman;serif" w:hAnsi="Times New Roman;serif"/>
          <w:b w:val="false"/>
          <w:color w:val="000000"/>
          <w:sz w:val="24"/>
        </w:rPr>
        <w:t>means with respect to each offering of Placement Shares pursuant to this Agreement, the time of TD Cowen’s initial entry into contracts with purchasers for the sale of such Placement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 </w:t>
      </w:r>
      <w:r>
        <w:rPr>
          <w:color w:val="000000"/>
        </w:rPr>
        <w:t>    </w:t>
      </w:r>
      <w:r>
        <w:rPr>
          <w:rFonts w:ascii="Times New Roman;serif" w:hAnsi="Times New Roman;serif"/>
          <w:b w:val="false"/>
          <w:color w:val="000000"/>
          <w:sz w:val="24"/>
          <w:u w:val="single"/>
        </w:rPr>
        <w:t>Offering Materials Furnished to TD Cowen</w:t>
      </w:r>
      <w:r>
        <w:rPr>
          <w:rFonts w:ascii="Times New Roman;serif" w:hAnsi="Times New Roman;serif"/>
          <w:b w:val="false"/>
          <w:color w:val="000000"/>
          <w:sz w:val="24"/>
        </w:rPr>
        <w:t>. The Company has delivered to TD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TD Cowen has reasonably requested. The Registration Statement, the Prospectus and any Permitted Free Writing Prospectus (to the extent any such Permitted Free Writing Prospectus was required to be filed with the Commission) delivered to TD Cowen for use in connection with the public offering of the Placement Shares contemplated herein have been and will be identical to the versions of such documents transmitted to the Commission for filing via EDGAR, except to the extent permitted by Regulation S-T.</w:t>
      </w:r>
    </w:p>
    <w:p>
      <w:pPr>
        <w:pStyle w:val="TextBody"/>
        <w:bidi w:val="0"/>
        <w:spacing w:lineRule="auto" w:line="240" w:before="0" w:after="240"/>
        <w:ind w:left="0" w:right="0" w:firstLine="720"/>
        <w:jc w:val="both"/>
        <w:rPr/>
      </w:pPr>
      <w:r>
        <w:rPr>
          <w:rFonts w:ascii="Times New Roman;serif" w:hAnsi="Times New Roman;serif"/>
          <w:b w:val="false"/>
          <w:color w:val="000000"/>
          <w:sz w:val="24"/>
        </w:rPr>
        <w:t>(d) </w:t>
      </w:r>
      <w:r>
        <w:rPr>
          <w:color w:val="000000"/>
        </w:rPr>
        <w:t>    </w:t>
      </w:r>
      <w:r>
        <w:rPr>
          <w:rFonts w:ascii="Times New Roman;serif" w:hAnsi="Times New Roman;serif"/>
          <w:b w:val="false"/>
          <w:color w:val="000000"/>
          <w:sz w:val="24"/>
          <w:u w:val="single"/>
        </w:rPr>
        <w:t>Ineligible Issuer</w:t>
      </w:r>
      <w:r>
        <w:rPr>
          <w:rFonts w:ascii="Times New Roman;serif" w:hAnsi="Times New Roman;serif"/>
          <w:b w:val="false"/>
          <w:color w:val="000000"/>
          <w:sz w:val="24"/>
        </w:rPr>
        <w:t>. The Company has not prepared, used or referred to, and for so long as the Company is an “ineligible issuer” as defined in Rule 405 of the Securities Act, the Company will not use or refer to, any free writing prospectus as defined in Rule 405 of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(e) </w:t>
      </w:r>
      <w:r>
        <w:rPr>
          <w:color w:val="000000"/>
        </w:rPr>
        <w:t>    </w:t>
      </w:r>
      <w:r>
        <w:rPr>
          <w:rFonts w:ascii="Times New Roman;serif" w:hAnsi="Times New Roman;serif"/>
          <w:b w:val="false"/>
          <w:color w:val="000000"/>
          <w:sz w:val="24"/>
          <w:u w:val="single"/>
        </w:rPr>
        <w:t>Distribution of Offering Material By the Company</w:t>
      </w:r>
      <w:r>
        <w:rPr>
          <w:rFonts w:ascii="Times New Roman;serif" w:hAnsi="Times New Roman;serif"/>
          <w:b w:val="false"/>
          <w:color w:val="000000"/>
          <w:sz w:val="24"/>
        </w:rPr>
        <w:t>. The Company has not distributed and will not distribute, prior to the completion of TD Cowen’s distribution of the Placement Shares, any offering material in connection with the offering and sale of the Placement Shares other than the Prospectus or the Registration Statement.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(f) </w:t>
      </w:r>
      <w:r>
        <w:rPr>
          <w:color w:val="000000"/>
        </w:rPr>
        <w:t>    </w:t>
      </w:r>
      <w:r>
        <w:rPr>
          <w:rFonts w:ascii="Times New Roman;serif" w:hAnsi="Times New Roman;serif"/>
          <w:b w:val="false"/>
          <w:color w:val="000000"/>
          <w:sz w:val="24"/>
          <w:u w:val="single"/>
        </w:rPr>
        <w:t>The Sales Agreement</w:t>
      </w:r>
      <w:r>
        <w:rPr>
          <w:rFonts w:ascii="Times New Roman;serif" w:hAnsi="Times New Roman;serif"/>
          <w:b w:val="false"/>
          <w:color w:val="000000"/>
          <w:sz w:val="24"/>
        </w:rPr>
        <w:t xml:space="preserve">.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(g) </w:t>
      </w:r>
      <w:r>
        <w:rPr>
          <w:color w:val="000000"/>
        </w:rPr>
        <w:t>    </w:t>
      </w:r>
      <w:r>
        <w:rPr>
          <w:rFonts w:ascii="Times New Roman;serif" w:hAnsi="Times New Roman;serif"/>
          <w:b w:val="false"/>
          <w:color w:val="000000"/>
          <w:sz w:val="24"/>
          <w:u w:val="single"/>
        </w:rPr>
        <w:t>Authorization of the Common Stock</w:t>
      </w:r>
      <w:r>
        <w:rPr>
          <w:rFonts w:ascii="Times New Roman;serif" w:hAnsi="Times New Roman;serif"/>
          <w:b w:val="false"/>
          <w:color w:val="000000"/>
          <w:sz w:val="24"/>
        </w:rPr>
        <w:t>. The Placement Shares, when issued and delivered, will be duly authorized for issuance and sale pursuant to this Agreement and, when issued and delivered by the Company against payment therefor pursuant to this Agreement, will be duly authorized, validly issued, fully paid and nonassessable, free and clear of any pledge, lien, encumbrance, security interest or other claim, and the issuance and sale of the Placement Shares by the Company is not subject to preemptive or other similar rights arising by operation of law, under the organizational documents of the Company or under any agreement to which the Company or any of its subsidiaries is a party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(h) </w:t>
      </w:r>
      <w:r>
        <w:rPr>
          <w:color w:val="000000"/>
        </w:rPr>
        <w:t>    </w:t>
      </w:r>
      <w:r>
        <w:rPr>
          <w:rFonts w:ascii="Times New Roman;serif" w:hAnsi="Times New Roman;serif"/>
          <w:b w:val="false"/>
          <w:color w:val="000000"/>
          <w:sz w:val="24"/>
          <w:u w:val="single"/>
        </w:rPr>
        <w:t>No Applicable Registration or Other Similar Rights</w:t>
      </w:r>
      <w:r>
        <w:rPr>
          <w:rFonts w:ascii="Times New Roman;serif" w:hAnsi="Times New Roman;serif"/>
          <w:b w:val="false"/>
          <w:color w:val="000000"/>
          <w:sz w:val="24"/>
        </w:rPr>
        <w:t xml:space="preserve">. There are no persons with registration or other similar rights to have any equity or debt securities registered for sale under the Registration Statement or included in the offering contemplated by this Agreement, except for such rights as have been duly waived or otherwise complied with. </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(i) </w:t>
      </w:r>
      <w:r>
        <w:rPr>
          <w:color w:val="000000"/>
        </w:rPr>
        <w:t>    </w:t>
      </w:r>
      <w:r>
        <w:rPr>
          <w:rFonts w:ascii="Times New Roman;serif" w:hAnsi="Times New Roman;serif"/>
          <w:b w:val="false"/>
          <w:color w:val="000000"/>
          <w:sz w:val="24"/>
          <w:u w:val="single"/>
        </w:rPr>
        <w:t>No Material Adverse Change</w:t>
      </w:r>
      <w:r>
        <w:rPr>
          <w:rFonts w:ascii="Times New Roman;serif" w:hAnsi="Times New Roman;serif"/>
          <w:b w:val="false"/>
          <w:color w:val="000000"/>
          <w:sz w:val="24"/>
        </w:rPr>
        <w:t>. Except as otherwise disclosed in the Registration Statement or the Prospectus, subsequent to the respective dates as of which information is given in the Prospectus: (i) there has been no material adverse change, or any development that could reasonably be expected to result in a material adverse change, in the condition, financial or otherwise, or in the earnings, business, operations or prospects, whether or not arising from transactions in the ordinary course of business, of the Company and its subsidiaries, considered as one entity (any such change is called a “</w:t>
      </w:r>
      <w:r>
        <w:rPr>
          <w:rFonts w:ascii="Times New Roman;serif" w:hAnsi="Times New Roman;serif"/>
          <w:b/>
          <w:color w:val="000000"/>
          <w:sz w:val="24"/>
          <w:u w:val="single"/>
        </w:rPr>
        <w:t>Material Adverse Change</w:t>
      </w:r>
      <w:r>
        <w:rPr>
          <w:color w:val="000000"/>
        </w:rPr>
        <w:t>”</w:t>
      </w:r>
      <w:r>
        <w:rPr>
          <w:rFonts w:ascii="Times New Roman;serif" w:hAnsi="Times New Roman;serif"/>
          <w:b w:val="false"/>
          <w:color w:val="000000"/>
          <w:sz w:val="24"/>
        </w:rPr>
        <w:t>);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regular quarterly dividends publicly announced by the Company or dividends paid to the Company or other subsidiaries, by any of its subsidiaries on any class of capital stock or repurchase or redemption by the Company or any of its subsidiaries of any class of capital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(j) </w:t>
      </w:r>
      <w:r>
        <w:rPr>
          <w:color w:val="000000"/>
        </w:rPr>
        <w:t>    </w:t>
      </w:r>
      <w:r>
        <w:rPr>
          <w:rFonts w:ascii="Times New Roman;serif" w:hAnsi="Times New Roman;serif"/>
          <w:b w:val="false"/>
          <w:color w:val="000000"/>
          <w:sz w:val="24"/>
          <w:u w:val="single"/>
        </w:rPr>
        <w:t>Independent Accountants</w:t>
      </w:r>
      <w:r>
        <w:rPr>
          <w:rFonts w:ascii="Times New Roman;serif" w:hAnsi="Times New Roman;serif"/>
          <w:b w:val="false"/>
          <w:color w:val="000000"/>
          <w:sz w:val="24"/>
        </w:rPr>
        <w:t xml:space="preserve">. PricewaterhouseCoopers LLP, who has expressed its opinion with respect to the financial statements (which term as used in this Agreement includes the related notes thereto) and supporting schedules filed with the Commission or incorporated by reference as a part of the Registration Statement and included in the Prospectus, is an independent registered public accounting firm as required by the Securities Act and the Exchange Act. </w:t>
      </w:r>
    </w:p>
    <w:p>
      <w:pPr>
        <w:pStyle w:val="TextBody"/>
        <w:bidi w:val="0"/>
        <w:spacing w:lineRule="auto" w:line="240" w:before="0" w:after="240"/>
        <w:ind w:left="0" w:right="0" w:firstLine="720"/>
        <w:jc w:val="both"/>
        <w:rPr/>
      </w:pPr>
      <w:r>
        <w:rPr>
          <w:rFonts w:ascii="Times New Roman;serif" w:hAnsi="Times New Roman;serif"/>
          <w:b w:val="false"/>
          <w:color w:val="000000"/>
          <w:sz w:val="24"/>
        </w:rPr>
        <w:t>(k) </w:t>
      </w:r>
      <w:r>
        <w:rPr>
          <w:color w:val="000000"/>
        </w:rPr>
        <w:t>    </w:t>
      </w:r>
      <w:r>
        <w:rPr>
          <w:rFonts w:ascii="Times New Roman;serif" w:hAnsi="Times New Roman;serif"/>
          <w:b w:val="false"/>
          <w:color w:val="000000"/>
          <w:sz w:val="24"/>
          <w:u w:val="single"/>
        </w:rPr>
        <w:t>Preparation of the Financial Statements</w:t>
      </w:r>
      <w:r>
        <w:rPr>
          <w:rFonts w:ascii="Times New Roman;serif" w:hAnsi="Times New Roman;serif"/>
          <w:b w:val="false"/>
          <w:color w:val="000000"/>
          <w:sz w:val="24"/>
        </w:rPr>
        <w:t>. The financial statements filed with the Commission as a part of or incorporated by reference in the Registration Statement and included in the Prospectus present fairly in all material respects the consolidated financial position of the Company and its subsidiaries as of and at the dates indicated and the results of their operations and cash flows for the periods specified. The supporting schedules included in or incorporated in the Registration Statement present fairly the information required to be stated therein. Such financial statements and supporting schedules have been prepared in conformity with generally accepted accounting principles as applied in the United States applied on a consistent basis throughout the periods involved, except as may be expressly stated in the related notes thereto. The other financial information included in each of the Registration Statement and the Prospectus has been derived from the accounting records of the Company and its consolidated subsidiaries and presents fairly in all material respects the information shown thereby. The statistical, industry-related and market-related data included in the Registration Statement and the Prospectus are based on or derived from sources which the Company reasonably and in good faith believes are reliable and accurate and such data is consistent with the sources from which they are derived, in each case in all material respects. No other financial statements or supporting schedules are required to be included in or incorporated in the Registration Statement.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(l) </w:t>
      </w:r>
      <w:r>
        <w:rPr>
          <w:color w:val="000000"/>
        </w:rPr>
        <w:t>    </w:t>
      </w:r>
      <w:r>
        <w:rPr>
          <w:rFonts w:ascii="Times New Roman;serif" w:hAnsi="Times New Roman;serif"/>
          <w:b w:val="false"/>
          <w:color w:val="000000"/>
          <w:sz w:val="24"/>
          <w:u w:val="single"/>
        </w:rPr>
        <w:t>XBRL</w:t>
      </w:r>
      <w:r>
        <w:rPr>
          <w:rFonts w:ascii="Times New Roman;serif" w:hAnsi="Times New Roman;serif"/>
          <w:b w:val="false"/>
          <w:color w:val="000000"/>
          <w:sz w:val="24"/>
        </w:rPr>
        <w:t>. The interactive data in eXtensible Business Reporting Language included or incorporated by reference in each Registration Statement fairly presents the information called for in all material respects and has been prepared in accordance with the Commission’s rules and guidelines applicable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(m) </w:t>
      </w:r>
      <w:r>
        <w:rPr>
          <w:color w:val="000000"/>
        </w:rPr>
        <w:t>    </w:t>
      </w:r>
      <w:r>
        <w:rPr>
          <w:rFonts w:ascii="Times New Roman;serif" w:hAnsi="Times New Roman;serif"/>
          <w:b w:val="false"/>
          <w:color w:val="000000"/>
          <w:sz w:val="24"/>
          <w:u w:val="single"/>
        </w:rPr>
        <w:t>Incorporation and Good Standing of the Company and its Subsidiaries</w:t>
      </w:r>
      <w:r>
        <w:rPr>
          <w:rFonts w:ascii="Times New Roman;serif" w:hAnsi="Times New Roman;serif"/>
          <w:b w:val="false"/>
          <w:color w:val="000000"/>
          <w:sz w:val="24"/>
        </w:rPr>
        <w:t xml:space="preserve">. The Company has been duly incorporated and is validly existing as a corporation in good standing under the laws of the jurisdiction of its incorporation and has corporate power and authority to own, lease and operate its properties and to conduct its business as described in the Prospectus and to enter into and perform its obligations under this Agreement and to consummate the transactions contemplated herein and therein, except where the failure to be in good standing or have such power or authority would not, individually or in the aggregate, result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11"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 a Material Adverse Change. Each subsidiary of the Company has been duly organized and is validly existing as a corporation or limited liability company in good standing under the laws of the jurisdiction of its organization and has the requisite power and authority to own, lease and operate its properties and to conduct its business as described in the Prospectus, except where the failure to be in good standing or have such power or authority would not, individually or in the aggregate, result in a Material Adverse Change. Each of the Company and its subsidiaries is duly qualified as a foreign corporation or foreign partnership to transact business and is in good standing under the laws of the jurisdiction of its incorporation or formation and each other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Change. Except as described in the Prospectus, all of the issued and outstanding equity interests of the Company’s subsidiaries have been duly authorized and validly issued, are fully paid and nonassessable and are owned by the Company free and clear of any security interest, mortgage, pledge, lien, encumbrance or claim.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w:t>
      </w:r>
    </w:p>
    <w:p>
      <w:pPr>
        <w:pStyle w:val="TextBody"/>
        <w:bidi w:val="0"/>
        <w:spacing w:lineRule="auto" w:line="240" w:before="0" w:after="240"/>
        <w:ind w:left="0" w:right="0" w:firstLine="720"/>
        <w:jc w:val="both"/>
        <w:rPr/>
      </w:pPr>
      <w:r>
        <w:rPr>
          <w:rFonts w:ascii="Times New Roman;serif" w:hAnsi="Times New Roman;serif"/>
          <w:b w:val="false"/>
          <w:color w:val="000000"/>
          <w:sz w:val="24"/>
        </w:rPr>
        <w:t>(n) </w:t>
      </w:r>
      <w:r>
        <w:rPr>
          <w:color w:val="000000"/>
        </w:rPr>
        <w:t>    </w:t>
      </w:r>
      <w:r>
        <w:rPr>
          <w:rFonts w:ascii="Times New Roman;serif" w:hAnsi="Times New Roman;serif"/>
          <w:b w:val="false"/>
          <w:color w:val="000000"/>
          <w:sz w:val="24"/>
          <w:u w:val="single"/>
        </w:rPr>
        <w:t>Capital Stock Matters</w:t>
      </w:r>
      <w:r>
        <w:rPr>
          <w:rFonts w:ascii="Times New Roman;serif" w:hAnsi="Times New Roman;serif"/>
          <w:b w:val="false"/>
          <w:color w:val="000000"/>
          <w:sz w:val="24"/>
        </w:rPr>
        <w:t xml:space="preserve">. The Common Stock conforms in all material respects to the description thereof contained in the Prospectus. All of the issued and outstanding shares of Common Stock have been duly authorized and validly issued, are fully paid and nonassessable and have been issued in compliance with federal and state securities laws. None of the outstanding shares of Common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accurately described in all material respects in the Prospectus. The description of the Company’s stock option, stock bonus and other stock plans or arrangements, and the options or other rights granted thereunder, set forth in the Prospectus accurately and fairly presents in all material respects the information required to be shown with respect to such plans, arrangements, options and rights. </w:t>
      </w:r>
    </w:p>
    <w:p>
      <w:pPr>
        <w:pStyle w:val="TextBody"/>
        <w:bidi w:val="0"/>
        <w:spacing w:lineRule="auto" w:line="240" w:before="0" w:after="240"/>
        <w:ind w:left="0" w:right="0" w:firstLine="720"/>
        <w:jc w:val="both"/>
        <w:rPr/>
      </w:pPr>
      <w:r>
        <w:rPr>
          <w:rFonts w:ascii="Times New Roman;serif" w:hAnsi="Times New Roman;serif"/>
          <w:b w:val="false"/>
          <w:color w:val="000000"/>
          <w:sz w:val="24"/>
        </w:rPr>
        <w:t>(o) </w:t>
      </w:r>
      <w:r>
        <w:rPr>
          <w:color w:val="000000"/>
        </w:rPr>
        <w:t>    </w:t>
      </w:r>
      <w:r>
        <w:rPr>
          <w:rFonts w:ascii="Times New Roman;serif" w:hAnsi="Times New Roman;serif"/>
          <w:b w:val="false"/>
          <w:color w:val="000000"/>
          <w:sz w:val="24"/>
          <w:u w:val="single"/>
        </w:rPr>
        <w:t>Non-Contravention of Existing Instruments; No Further Authorizations or Approvals Required</w:t>
      </w:r>
      <w:r>
        <w:rPr>
          <w:rFonts w:ascii="Times New Roman;serif" w:hAnsi="Times New Roman;serif"/>
          <w:b w:val="false"/>
          <w:color w:val="000000"/>
          <w:sz w:val="24"/>
        </w:rPr>
        <w:t>. Neither the Company nor any of its subsidiaries is in violation of its charter or bylaws or is in default (or, with the giving of notice or lapse of time, would be in default) (“</w:t>
      </w:r>
      <w:r>
        <w:rPr>
          <w:rFonts w:ascii="Times New Roman;serif" w:hAnsi="Times New Roman;serif"/>
          <w:b/>
          <w:color w:val="000000"/>
          <w:sz w:val="24"/>
          <w:u w:val="single"/>
        </w:rPr>
        <w:t>Default</w:t>
      </w:r>
      <w:r>
        <w:rPr>
          <w:color w:val="000000"/>
        </w:rPr>
        <w:t>”</w:t>
      </w:r>
      <w:r>
        <w:rPr>
          <w:rFonts w:ascii="Times New Roman;serif" w:hAnsi="Times New Roman;serif"/>
          <w:b w:val="false"/>
          <w:color w:val="000000"/>
          <w:sz w:val="24"/>
        </w:rPr>
        <w:t>) under any indenture, mortgage, loan or credit agreement, note, contract, franchise, lease or other instrument to which the Company or any of its subsidiaries is a party or by which it or any of them may be bound, or to which any of the property or assets of the Company or any of its subsidiaries is subject (each, an “</w:t>
      </w:r>
      <w:r>
        <w:rPr>
          <w:rFonts w:ascii="Times New Roman;serif" w:hAnsi="Times New Roman;serif"/>
          <w:b/>
          <w:color w:val="000000"/>
          <w:sz w:val="24"/>
          <w:u w:val="single"/>
        </w:rPr>
        <w:t>Existing Instrument</w:t>
      </w:r>
      <w:r>
        <w:rPr>
          <w:color w:val="000000"/>
        </w:rPr>
        <w:t>”</w:t>
      </w:r>
      <w:r>
        <w:rPr>
          <w:rFonts w:ascii="Times New Roman;serif" w:hAnsi="Times New Roman;serif"/>
          <w:b w:val="false"/>
          <w:color w:val="000000"/>
          <w:sz w:val="24"/>
        </w:rPr>
        <w:t xml:space="preserve">), except for such Defaults as would not, individually or in the aggregate, result in a Material Adverse Change. The Company’s execution, delivery and performance of this Agreement and consummation of the transactions contemplated hereby and by the Prospectus (i) have been duly authorized by all necessary corporate action and will not result in any violation of the provisions of the charter or bylaws of the Company or any Subsidiary, (ii) will not conflict with or constitute a breach of, or Default under, or result in the creation or imposition of any lien, charge or encumbrance upon any property or assets of the Company or any of its subsidiaries pursuant to, or require the consent of any other party to, any Existing Instrument, except for such conflicts, breaches, Defaults, liens, charges or encumbrances as would not, individually or in the aggregate, result in a Material Adverse Change and (iii) will not result in any violation of any law, administrative regulation or administrative or court decree applicable to the Company or any Subsidiary, except </w:t>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12"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for such violations as would not, individually or in the aggregate,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Prospectus, except such as have been obtained or made by the Company and are in full force and effect under the Securities Act, applicable state securities or blue sky laws and from the Financial Industry Regulatory Authority (“</w:t>
      </w:r>
      <w:r>
        <w:rPr>
          <w:rFonts w:ascii="Times New Roman;serif" w:hAnsi="Times New Roman;serif"/>
          <w:b/>
          <w:color w:val="000000"/>
          <w:sz w:val="24"/>
          <w:u w:val="single"/>
        </w:rPr>
        <w:t>FINRA</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(p) </w:t>
      </w:r>
      <w:r>
        <w:rPr>
          <w:color w:val="000000"/>
        </w:rPr>
        <w:t>    </w:t>
      </w:r>
      <w:r>
        <w:rPr>
          <w:rFonts w:ascii="Times New Roman;serif" w:hAnsi="Times New Roman;serif"/>
          <w:b w:val="false"/>
          <w:color w:val="000000"/>
          <w:sz w:val="24"/>
          <w:u w:val="single"/>
        </w:rPr>
        <w:t>No Material Actions or Proceedings</w:t>
      </w:r>
      <w:r>
        <w:rPr>
          <w:rFonts w:ascii="Times New Roman;serif" w:hAnsi="Times New Roman;serif"/>
          <w:b w:val="false"/>
          <w:color w:val="000000"/>
          <w:sz w:val="24"/>
        </w:rPr>
        <w:t xml:space="preserve">. Except as disclosed in the Prospectus, there are no legal or governmental actions, suits or proceedings pending or, to the best of the Company’s knowledge, threatened (i) against or affecting the Company or any of its subsidiaries, (ii) which has as the subject thereof any officer or director of, or property owned or leased by, the Company or any of its subsidiaries or (iii) relating to environmental or discrimination matters, where in any such case (A) there is a reasonable possibility that such action, suit or proceeding might be determined adversely to the Company or any of its subsidiaries and (B) any such action, suit or proceeding, if so determined adversely, would reasonably be expected to result in a Material Adverse Change or adversely affect the consummation of the transactions contemplated by this Agreement. No material labor dispute with the employees of the Company or any of its subsidiaries exists or, to the Company’s knowledge, is threatened.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(q) </w:t>
      </w:r>
      <w:r>
        <w:rPr>
          <w:color w:val="000000"/>
        </w:rPr>
        <w:t>    </w:t>
      </w:r>
      <w:r>
        <w:rPr>
          <w:rFonts w:ascii="Times New Roman;serif" w:hAnsi="Times New Roman;serif"/>
          <w:b w:val="false"/>
          <w:color w:val="000000"/>
          <w:sz w:val="24"/>
          <w:u w:val="single"/>
        </w:rPr>
        <w:t>All Necessary Permits, etc</w:t>
      </w:r>
      <w:r>
        <w:rPr>
          <w:rFonts w:ascii="Times New Roman;serif" w:hAnsi="Times New Roman;serif"/>
          <w:b w:val="false"/>
          <w:color w:val="000000"/>
          <w:sz w:val="24"/>
        </w:rPr>
        <w:t xml:space="preserve">. The Company and each of its subsidiaries possess such valid and current certificates, authorizations or permits issued by the appropriate state, federal or foreign regulatory agencies or bodies necessary to conduct their respective businesses and as required by applicable law, other than those the failure to possess or own would not result in a Material Adverse Change, and neither the Company nor any of its subsidiaries has received any notice of proceedings relating to the revocation or modification of, or non-compliance with, any such certificate, authorization or permit which, singly or in the aggregate, if the subject of an unfavorable decision, ruling or finding, could result in a Material Adverse Change. </w:t>
      </w:r>
    </w:p>
    <w:p>
      <w:pPr>
        <w:pStyle w:val="TextBody"/>
        <w:bidi w:val="0"/>
        <w:spacing w:lineRule="auto" w:line="240" w:before="0" w:after="240"/>
        <w:ind w:left="0" w:right="0" w:firstLine="720"/>
        <w:jc w:val="both"/>
        <w:rPr/>
      </w:pPr>
      <w:r>
        <w:rPr>
          <w:rFonts w:ascii="Times New Roman;serif" w:hAnsi="Times New Roman;serif"/>
          <w:b w:val="false"/>
          <w:color w:val="000000"/>
          <w:sz w:val="24"/>
        </w:rPr>
        <w:t>(r) </w:t>
      </w:r>
      <w:r>
        <w:rPr>
          <w:color w:val="000000"/>
        </w:rPr>
        <w:t>    </w:t>
      </w:r>
      <w:r>
        <w:rPr>
          <w:rFonts w:ascii="Times New Roman;serif" w:hAnsi="Times New Roman;serif"/>
          <w:b w:val="false"/>
          <w:color w:val="000000"/>
          <w:sz w:val="24"/>
          <w:u w:val="single"/>
        </w:rPr>
        <w:t>Tax Law Compliance</w:t>
      </w:r>
      <w:r>
        <w:rPr>
          <w:rFonts w:ascii="Times New Roman;serif" w:hAnsi="Times New Roman;serif"/>
          <w:b w:val="false"/>
          <w:color w:val="000000"/>
          <w:sz w:val="24"/>
        </w:rPr>
        <w:t xml:space="preserve">. The Company and its consolidated subsidiaries have filed all necessary federal, state and foreign income, property and franchise tax returns other than those the failure to file would not result in a Material Adverse Change, and have paid all taxes required to be paid by any of them and, if due and payable, any related or similar assessment, fine or penalty levied against any of them except as may be being contested in good faith and by appropriate proceedings or such amounts the failure to pay would not result in a Material Adverse Change. The Company has made charges, accruals and reserves in accordance with GAAP in the applicable financial statements referred to in </w:t>
      </w:r>
      <w:r>
        <w:rPr>
          <w:rFonts w:ascii="Times New Roman;serif" w:hAnsi="Times New Roman;serif"/>
          <w:b w:val="false"/>
          <w:color w:val="000000"/>
          <w:sz w:val="24"/>
          <w:u w:val="single"/>
        </w:rPr>
        <w:t>Section 6(k)</w:t>
      </w:r>
      <w:r>
        <w:rPr>
          <w:color w:val="000000"/>
        </w:rPr>
        <w:t xml:space="preserve"> </w:t>
      </w:r>
      <w:r>
        <w:rPr>
          <w:rFonts w:ascii="Times New Roman;serif" w:hAnsi="Times New Roman;serif"/>
          <w:b w:val="false"/>
          <w:color w:val="000000"/>
          <w:sz w:val="24"/>
        </w:rPr>
        <w:t xml:space="preserve">above in respect of all material federal, state and foreign income, property and franchise taxes for all periods as to which the tax liability of the Company or any of its consolidated subsidiaries has not been finally determined.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(s) </w:t>
      </w:r>
      <w:r>
        <w:rPr>
          <w:color w:val="000000"/>
        </w:rPr>
        <w:t>    </w:t>
      </w:r>
      <w:r>
        <w:rPr>
          <w:rFonts w:ascii="Times New Roman;serif" w:hAnsi="Times New Roman;serif"/>
          <w:b w:val="false"/>
          <w:color w:val="000000"/>
          <w:sz w:val="24"/>
          <w:u w:val="single"/>
        </w:rPr>
        <w:t>Company Not an “Investment Company</w:t>
      </w:r>
      <w:r>
        <w:rPr>
          <w:color w:val="000000"/>
        </w:rPr>
        <w:t>”</w:t>
      </w:r>
      <w:r>
        <w:rPr>
          <w:rFonts w:ascii="Times New Roman;serif" w:hAnsi="Times New Roman;serif"/>
          <w:b w:val="false"/>
          <w:color w:val="000000"/>
          <w:sz w:val="24"/>
        </w:rPr>
        <w:t>. The Company has been advised of the rules and requirements under the Investment Company Act of 1940, as amended (the “</w:t>
      </w:r>
      <w:r>
        <w:rPr>
          <w:rFonts w:ascii="Times New Roman;serif" w:hAnsi="Times New Roman;serif"/>
          <w:b/>
          <w:color w:val="000000"/>
          <w:sz w:val="24"/>
          <w:u w:val="single"/>
        </w:rPr>
        <w:t>Investment Company Act</w:t>
      </w:r>
      <w:r>
        <w:rPr>
          <w:color w:val="000000"/>
        </w:rPr>
        <w:t>”</w:t>
      </w:r>
      <w:r>
        <w:rPr>
          <w:rFonts w:ascii="Times New Roman;serif" w:hAnsi="Times New Roman;serif"/>
          <w:b w:val="false"/>
          <w:color w:val="000000"/>
          <w:sz w:val="24"/>
        </w:rPr>
        <w:t xml:space="preserve">). The Company is not, and after receipt of payment for the Common Stock will not be, an “investment company” within the meaning of Investment Company Act. </w:t>
      </w:r>
    </w:p>
    <w:p>
      <w:pPr>
        <w:pStyle w:val="TextBody"/>
        <w:bidi w:val="0"/>
        <w:spacing w:lineRule="auto" w:line="240" w:before="0" w:after="240"/>
        <w:ind w:left="0" w:right="0" w:firstLine="720"/>
        <w:jc w:val="both"/>
        <w:rPr/>
      </w:pPr>
      <w:r>
        <w:rPr>
          <w:rFonts w:ascii="Times New Roman;serif" w:hAnsi="Times New Roman;serif"/>
          <w:b w:val="false"/>
          <w:color w:val="000000"/>
          <w:sz w:val="24"/>
        </w:rPr>
        <w:t>(t) </w:t>
      </w:r>
      <w:r>
        <w:rPr>
          <w:color w:val="000000"/>
        </w:rPr>
        <w:t>    </w:t>
      </w:r>
      <w:r>
        <w:rPr>
          <w:rFonts w:ascii="Times New Roman;serif" w:hAnsi="Times New Roman;serif"/>
          <w:b w:val="false"/>
          <w:color w:val="000000"/>
          <w:sz w:val="24"/>
          <w:u w:val="single"/>
        </w:rPr>
        <w:t>Insurance</w:t>
      </w:r>
      <w:r>
        <w:rPr>
          <w:rFonts w:ascii="Times New Roman;serif" w:hAnsi="Times New Roman;serif"/>
          <w:b w:val="false"/>
          <w:color w:val="000000"/>
          <w:sz w:val="24"/>
        </w:rPr>
        <w:t xml:space="preserve">. Except as otherwise described in the Prospectus, each of the Company and its subsidiaries are insured by insurers of recognized financial responsibility with policies in such amounts and with such deductibles and covering such risks as the Company or such subsidiary reasonably believe to be prudent and customary for the business for which it is engaged including, but not limited to, policies covering real and personal property owned or </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3"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leased by the Company and its subsidiaries against theft, damage, destruction, and acts of vandalism. The Company has no reason to believe that it or any subsidiary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 </w:t>
      </w:r>
    </w:p>
    <w:p>
      <w:pPr>
        <w:pStyle w:val="TextBody"/>
        <w:bidi w:val="0"/>
        <w:spacing w:lineRule="auto" w:line="240" w:before="0" w:after="240"/>
        <w:ind w:left="0" w:right="0" w:firstLine="720"/>
        <w:jc w:val="both"/>
        <w:rPr/>
      </w:pPr>
      <w:r>
        <w:rPr>
          <w:rFonts w:ascii="Times New Roman;serif" w:hAnsi="Times New Roman;serif"/>
          <w:b w:val="false"/>
          <w:color w:val="000000"/>
          <w:sz w:val="24"/>
        </w:rPr>
        <w:t>(u) </w:t>
      </w:r>
      <w:r>
        <w:rPr>
          <w:color w:val="000000"/>
        </w:rPr>
        <w:t>    </w:t>
      </w:r>
      <w:r>
        <w:rPr>
          <w:rFonts w:ascii="Times New Roman;serif" w:hAnsi="Times New Roman;serif"/>
          <w:b w:val="false"/>
          <w:color w:val="000000"/>
          <w:sz w:val="24"/>
          <w:u w:val="single"/>
        </w:rPr>
        <w:t>No Price Stabilization or Manipulation</w:t>
      </w:r>
      <w:r>
        <w:rPr>
          <w:rFonts w:ascii="Times New Roman;serif" w:hAnsi="Times New Roman;serif"/>
          <w:b w:val="false"/>
          <w:color w:val="000000"/>
          <w:sz w:val="24"/>
        </w:rPr>
        <w:t xml:space="preserve">. The Company has not taken and will not take, directly or indirectly, any action designed to or that might be reasonably expected to cause or result in stabilization or manipulation of the price of any security of the Company to facilitate the sale or resale of the Placement Shares.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(v) </w:t>
      </w:r>
      <w:r>
        <w:rPr>
          <w:color w:val="000000"/>
        </w:rPr>
        <w:t>    </w:t>
      </w:r>
      <w:r>
        <w:rPr>
          <w:rFonts w:ascii="Times New Roman;serif" w:hAnsi="Times New Roman;serif"/>
          <w:b w:val="false"/>
          <w:color w:val="000000"/>
          <w:sz w:val="24"/>
          <w:u w:val="single"/>
        </w:rPr>
        <w:t>Related Party Transactions</w:t>
      </w:r>
      <w:r>
        <w:rPr>
          <w:rFonts w:ascii="Times New Roman;serif" w:hAnsi="Times New Roman;serif"/>
          <w:b w:val="false"/>
          <w:color w:val="000000"/>
          <w:sz w:val="24"/>
        </w:rPr>
        <w:t>. There are no business relationships or related-party transactions involving the Company or any subsidiary of the Company or any other person required to be described in the Prospectus which have not been described as required.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(w) </w:t>
      </w:r>
      <w:r>
        <w:rPr>
          <w:color w:val="000000"/>
        </w:rPr>
        <w:t>    </w:t>
      </w:r>
      <w:r>
        <w:rPr>
          <w:rFonts w:ascii="Times New Roman;serif" w:hAnsi="Times New Roman;serif"/>
          <w:b w:val="false"/>
          <w:color w:val="000000"/>
          <w:sz w:val="24"/>
          <w:u w:val="single"/>
        </w:rPr>
        <w:t>FINRA Matters</w:t>
      </w:r>
      <w:r>
        <w:rPr>
          <w:rFonts w:ascii="Times New Roman;serif" w:hAnsi="Times New Roman;serif"/>
          <w:b w:val="false"/>
          <w:color w:val="000000"/>
          <w:sz w:val="24"/>
        </w:rPr>
        <w:t>. All of the information provided to TD Cowen or to counsel for TD Cowen by the Company, its counsel, its officers and directors and the holders of any securities (debt or equity) or options to acquire any securities of the Company in connection with the offering of the Placement Shares is, to the Company’s knowledge, true, complete, correct and compliant with FINRA rules and any letters, filings or other supplemental information provided to FINRA pursuant to FINRA Rules or NASD Conduct Rules is true, complete and correct. As of the date of this Agreement, the Company meets the definition of the term “experienced issuer” specified in FINRA Rule 5110(j)(6) for the purposes of FINRA Rule 5110(h)(1)(C).</w:t>
      </w:r>
    </w:p>
    <w:p>
      <w:pPr>
        <w:pStyle w:val="TextBody"/>
        <w:bidi w:val="0"/>
        <w:spacing w:lineRule="auto" w:line="240" w:before="0" w:after="240"/>
        <w:ind w:left="0" w:right="0" w:firstLine="720"/>
        <w:jc w:val="both"/>
        <w:rPr/>
      </w:pPr>
      <w:r>
        <w:rPr>
          <w:rFonts w:ascii="Times New Roman;serif" w:hAnsi="Times New Roman;serif"/>
          <w:b w:val="false"/>
          <w:color w:val="000000"/>
          <w:sz w:val="24"/>
        </w:rPr>
        <w:t>(x) </w:t>
      </w:r>
      <w:r>
        <w:rPr>
          <w:color w:val="000000"/>
        </w:rPr>
        <w:t>    </w:t>
      </w:r>
      <w:r>
        <w:rPr>
          <w:rFonts w:ascii="Times New Roman;serif" w:hAnsi="Times New Roman;serif"/>
          <w:b w:val="false"/>
          <w:color w:val="000000"/>
          <w:sz w:val="24"/>
          <w:u w:val="single"/>
        </w:rPr>
        <w:t>Exchange Act Compliance</w:t>
      </w:r>
      <w:r>
        <w:rPr>
          <w:rFonts w:ascii="Times New Roman;serif" w:hAnsi="Times New Roman;serif"/>
          <w:b w:val="false"/>
          <w:color w:val="000000"/>
          <w:sz w:val="24"/>
        </w:rPr>
        <w:t xml:space="preserve">.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statements therein, in the light of the circumstances under which they were made, not misleading. </w:t>
      </w:r>
    </w:p>
    <w:p>
      <w:pPr>
        <w:pStyle w:val="TextBody"/>
        <w:bidi w:val="0"/>
        <w:spacing w:lineRule="auto" w:line="240" w:before="0" w:after="240"/>
        <w:ind w:left="0" w:right="0" w:firstLine="720"/>
        <w:jc w:val="both"/>
        <w:rPr/>
      </w:pPr>
      <w:r>
        <w:rPr>
          <w:rFonts w:ascii="Times New Roman;serif" w:hAnsi="Times New Roman;serif"/>
          <w:b w:val="false"/>
          <w:color w:val="000000"/>
          <w:sz w:val="24"/>
        </w:rPr>
        <w:t>(y) </w:t>
      </w:r>
      <w:r>
        <w:rPr>
          <w:color w:val="000000"/>
        </w:rPr>
        <w:t>    </w:t>
      </w:r>
      <w:r>
        <w:rPr>
          <w:rFonts w:ascii="Times New Roman;serif" w:hAnsi="Times New Roman;serif"/>
          <w:b w:val="false"/>
          <w:color w:val="000000"/>
          <w:sz w:val="24"/>
          <w:u w:val="single"/>
        </w:rPr>
        <w:t>No Unlawful Contributions or Other Payments</w:t>
      </w:r>
      <w:r>
        <w:rPr>
          <w:rFonts w:ascii="Times New Roman;serif" w:hAnsi="Times New Roman;serif"/>
          <w:b w:val="false"/>
          <w:color w:val="000000"/>
          <w:sz w:val="24"/>
        </w:rPr>
        <w:t xml:space="preserve">. (i) None of the Company or any of its subsidiaries, or any director, officer, or employee thereof, or, to the Company’s knowledge, any affiliate, agent or representative of the Company or of any of its subsidiaries, while acting on behalf of the Company or any of its subsidiaries, has taken or will take, and will not permit any affiliate, agent or representative, while acting on behalf of the Company or any of its subsidiaries, to take, any action in furtherance of an offer, payment, promise to pay, or authorization or approval of the payment, giving or receipt of money, property, gifts or anything else of value, directly or indirectly, (1)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(2) to any other person, in the case of each of (1) and (2) in violation of any applicable anti-corruption laws; (ii) the Company and each of its subsidiaries and, to the Company’s knowledge, its affiliates have conducted their businesses in compliance with applicable anti-corruption laws, including the U.S. Foreign Corrupt Practices Act of 1977,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 </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4"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(z) </w:t>
      </w:r>
      <w:r>
        <w:rPr>
          <w:color w:val="000000"/>
        </w:rPr>
        <w:t>    </w:t>
      </w:r>
      <w:r>
        <w:rPr>
          <w:rFonts w:ascii="Times New Roman;serif" w:hAnsi="Times New Roman;serif"/>
          <w:b w:val="false"/>
          <w:color w:val="000000"/>
          <w:sz w:val="24"/>
          <w:u w:val="single"/>
        </w:rPr>
        <w:t>Compliance with Money Laundering Laws</w:t>
      </w:r>
      <w:r>
        <w:rPr>
          <w:rFonts w:ascii="Times New Roman;serif" w:hAnsi="Times New Roman;serif"/>
          <w:b w:val="false"/>
          <w:color w:val="000000"/>
          <w:sz w:val="24"/>
        </w:rPr>
        <w:t>. The operations of the Company and its subsidiaries are and have been conducted at all times in material compliance with all applicable financial recordkeeping and reporting requirements, which may include those of the U.S. Bank Secrecy Act, as amended by Title III of the Uniting and Strengthening America by Providing Appropriate Tools Required to Intercept and Obstruct Terrorism Act of 2001 (USA PATRIOT Act), the criminal money laundering laws at 18 U.S.C. §§ 1956, 1957,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serif" w:hAnsi="Times New Roman;serif"/>
          <w:b/>
          <w:color w:val="000000"/>
          <w:sz w:val="24"/>
          <w:u w:val="single"/>
        </w:rPr>
        <w:t>Anti-Money Laundering Laws</w:t>
      </w:r>
      <w:r>
        <w:rPr>
          <w:color w:val="000000"/>
        </w:rPr>
        <w:t>”</w:t>
      </w:r>
      <w:r>
        <w:rPr>
          <w:rFonts w:ascii="Times New Roman;serif" w:hAnsi="Times New Roman;serif"/>
          <w:b w:val="false"/>
          <w:color w:val="000000"/>
          <w:sz w:val="24"/>
        </w:rPr>
        <w:t xml:space="preserve">). No action, suit or proceeding by or before any court or governmental agency, authority, body or any arbitrator involving the Company or any of its subsidiaries with respect to Anti-Money Laundering Laws is pending, or to the knowledge of the Company, threatened.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(aa) </w:t>
      </w:r>
      <w:r>
        <w:rPr>
          <w:color w:val="000000"/>
        </w:rPr>
        <w:t>    </w:t>
      </w:r>
      <w:r>
        <w:rPr>
          <w:rFonts w:ascii="Times New Roman;serif" w:hAnsi="Times New Roman;serif"/>
          <w:b w:val="false"/>
          <w:color w:val="000000"/>
          <w:sz w:val="24"/>
          <w:u w:val="single"/>
        </w:rPr>
        <w:t>Compliance with OFAC</w:t>
      </w:r>
      <w:r>
        <w:rPr>
          <w:rFonts w:ascii="Times New Roman;serif" w:hAnsi="Times New Roman;serif"/>
          <w:b w:val="false"/>
          <w:color w:val="000000"/>
          <w:sz w:val="24"/>
        </w:rPr>
        <w:t xml:space="preserve">. </w:t>
      </w:r>
    </w:p>
    <w:p>
      <w:pPr>
        <w:pStyle w:val="TextBody"/>
        <w:bidi w:val="0"/>
        <w:spacing w:lineRule="auto" w:line="288" w:before="0" w:after="240"/>
        <w:ind w:left="0" w:right="0" w:hanging="360"/>
        <w:jc w:val="both"/>
        <w:rPr/>
      </w:pPr>
      <w:r>
        <w:rPr>
          <w:rFonts w:ascii="Times New Roman;serif" w:hAnsi="Times New Roman;serif"/>
          <w:b w:val="false"/>
          <w:color w:val="000000"/>
          <w:sz w:val="24"/>
        </w:rPr>
        <w:t>(A)Neither the Company nor any of its subsidiaries, nor any director, officer or employee thereof, nor to the Company’s knowledge, any agent, affiliate, representative or other person acting on behalf of, the Company or any of its subsidiaries, is an individual or entity (“</w:t>
      </w:r>
      <w:r>
        <w:rPr>
          <w:rFonts w:ascii="Times New Roman;serif" w:hAnsi="Times New Roman;serif"/>
          <w:b/>
          <w:color w:val="000000"/>
          <w:sz w:val="24"/>
          <w:u w:val="single"/>
        </w:rPr>
        <w:t>Person</w:t>
      </w:r>
      <w:r>
        <w:rPr>
          <w:color w:val="000000"/>
        </w:rPr>
        <w:t>”</w:t>
      </w:r>
      <w:r>
        <w:rPr>
          <w:rFonts w:ascii="Times New Roman;serif" w:hAnsi="Times New Roman;serif"/>
          <w:b w:val="false"/>
          <w:color w:val="000000"/>
          <w:sz w:val="24"/>
        </w:rPr>
        <w:t>) that is, or is 50% or more owned or otherwise controlled by one or more Persons that are: (i) the subject of any applicable sanctions administered or enforced by the U.S. Department of the Treasury’s Office of Foreign Assets Control (“</w:t>
      </w:r>
      <w:r>
        <w:rPr>
          <w:rFonts w:ascii="Times New Roman;serif" w:hAnsi="Times New Roman;serif"/>
          <w:b/>
          <w:color w:val="000000"/>
          <w:sz w:val="24"/>
          <w:u w:val="single"/>
        </w:rPr>
        <w:t>OFAC</w:t>
      </w:r>
      <w:r>
        <w:rPr>
          <w:color w:val="000000"/>
        </w:rPr>
        <w:t>”</w:t>
      </w:r>
      <w:r>
        <w:rPr>
          <w:rFonts w:ascii="Times New Roman;serif" w:hAnsi="Times New Roman;serif"/>
          <w:b w:val="false"/>
          <w:color w:val="000000"/>
          <w:sz w:val="24"/>
        </w:rPr>
        <w:t>), the United Nations Security Council, the European Union (“</w:t>
      </w:r>
      <w:r>
        <w:rPr>
          <w:rFonts w:ascii="Times New Roman;serif" w:hAnsi="Times New Roman;serif"/>
          <w:b/>
          <w:color w:val="000000"/>
          <w:sz w:val="24"/>
          <w:u w:val="single"/>
        </w:rPr>
        <w:t>EU</w:t>
      </w:r>
      <w:r>
        <w:rPr>
          <w:color w:val="000000"/>
        </w:rPr>
        <w:t>”</w:t>
      </w:r>
      <w:r>
        <w:rPr>
          <w:rFonts w:ascii="Times New Roman;serif" w:hAnsi="Times New Roman;serif"/>
          <w:b w:val="false"/>
          <w:color w:val="000000"/>
          <w:sz w:val="24"/>
        </w:rPr>
        <w:t>), His Majesty’s Treasury, the Swiss Secretariat of Economic Affairs, or other relevant sanctions authority (collectively, “</w:t>
      </w:r>
      <w:r>
        <w:rPr>
          <w:rFonts w:ascii="Times New Roman;serif" w:hAnsi="Times New Roman;serif"/>
          <w:b/>
          <w:color w:val="000000"/>
          <w:sz w:val="24"/>
          <w:u w:val="single"/>
        </w:rPr>
        <w:t>Sanctions</w:t>
      </w:r>
      <w:r>
        <w:rPr>
          <w:color w:val="000000"/>
        </w:rPr>
        <w:t>”</w:t>
      </w:r>
      <w:r>
        <w:rPr>
          <w:rFonts w:ascii="Times New Roman;serif" w:hAnsi="Times New Roman;serif"/>
          <w:b w:val="false"/>
          <w:color w:val="000000"/>
          <w:sz w:val="24"/>
        </w:rPr>
        <w:t>), nor (ii) located, organized, or resident in a country or territory that is the subject of Sanctions (including, without limitation, the so-called Donetsk People’s Republic, the so-called Luhansk People’s Republic, the Crimea Region and the non-government controlled areas of the Zaporizhzhia and Kherson Regions of Ukraine, Cuba, Iran, and North Korea) (“</w:t>
      </w:r>
      <w:r>
        <w:rPr>
          <w:rFonts w:ascii="Times New Roman;serif" w:hAnsi="Times New Roman;serif"/>
          <w:b/>
          <w:color w:val="000000"/>
          <w:sz w:val="24"/>
          <w:u w:val="single"/>
        </w:rPr>
        <w:t>Sanctioned Countries</w:t>
      </w:r>
      <w:r>
        <w:rPr>
          <w:color w:val="000000"/>
        </w:rPr>
        <w:t>”</w:t>
      </w:r>
      <w:r>
        <w:rPr>
          <w:rFonts w:ascii="Times New Roman;serif" w:hAnsi="Times New Roman;serif"/>
          <w:b w:val="false"/>
          <w:color w:val="000000"/>
          <w:sz w:val="24"/>
        </w:rPr>
        <w:t>).</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(B)The Company will not, directly or indirectly, use the proceeds of the offering, or lend, contribute or otherwise make available such proceeds to any of its subsidiaries, joint venture partners or other Person: (i) to fund or facilitate any activities or business of or with any Person, or in any country or territory that, at the time of such funding or facilitation, is the subject of Sanctions or is located, organized or resident in a Sanctioned Country; or (ii) in any other manner that will result in a violation of Sanctions by any Person (including any Person participating in the offering, whether as underwriter, advisor, investor or otherwise).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(C)Since April 24, 2019, the Company and its subsidiaries have not knowingly engaged in, are not now knowingly engaged in, and will not engage in, any dealings or transactions with any Person, or in any country or territory, that at the time of the dealing or transaction is or was the subject of Sanctions or is located, organized or resident in a Sanctioned Country.</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5"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(ab) </w:t>
      </w:r>
      <w:r>
        <w:rPr>
          <w:color w:val="000000"/>
        </w:rPr>
        <w:t>    </w:t>
      </w:r>
      <w:r>
        <w:rPr>
          <w:rFonts w:ascii="Times New Roman;serif" w:hAnsi="Times New Roman;serif"/>
          <w:b w:val="false"/>
          <w:color w:val="000000"/>
          <w:sz w:val="24"/>
          <w:u w:val="single"/>
        </w:rPr>
        <w:t>Company’s Accounting System</w:t>
      </w:r>
      <w:r>
        <w:rPr>
          <w:rFonts w:ascii="Times New Roman;serif" w:hAnsi="Times New Roman;serif"/>
          <w:b w:val="false"/>
          <w:color w:val="000000"/>
          <w:sz w:val="24"/>
        </w:rPr>
        <w:t>. The Company maintains a system of “internal control over financial reporting” (as such term is defined in Rule 13a-15(f) of the General Rules and Regulations under the Exchange Act (the “</w:t>
      </w:r>
      <w:r>
        <w:rPr>
          <w:rFonts w:ascii="Times New Roman;serif" w:hAnsi="Times New Roman;serif"/>
          <w:b/>
          <w:color w:val="000000"/>
          <w:sz w:val="24"/>
          <w:u w:val="single"/>
        </w:rPr>
        <w:t>Exchange Act Rules</w:t>
      </w:r>
      <w:r>
        <w:rPr>
          <w:color w:val="000000"/>
        </w:rPr>
        <w:t>”</w:t>
      </w:r>
      <w:r>
        <w:rPr>
          <w:rFonts w:ascii="Times New Roman;serif" w:hAnsi="Times New Roman;serif"/>
          <w:b w:val="false"/>
          <w:color w:val="000000"/>
          <w:sz w:val="24"/>
        </w:rPr>
        <w:t xml:space="preserve">)) that complies with the requirements of the Exchange Act and has been designed by their respective principal executive 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U.S.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described in the Prospectus, the Company’s internal control over financial reporting is effective. Except as described in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w:t>
      </w:r>
    </w:p>
    <w:p>
      <w:pPr>
        <w:pStyle w:val="TextBody"/>
        <w:bidi w:val="0"/>
        <w:spacing w:lineRule="auto" w:line="240" w:before="0" w:after="240"/>
        <w:ind w:left="0" w:right="0" w:firstLine="720"/>
        <w:jc w:val="both"/>
        <w:rPr/>
      </w:pPr>
      <w:r>
        <w:rPr>
          <w:rFonts w:ascii="Times New Roman;serif" w:hAnsi="Times New Roman;serif"/>
          <w:b w:val="false"/>
          <w:color w:val="000000"/>
          <w:sz w:val="24"/>
        </w:rPr>
        <w:t>(ac) </w:t>
      </w:r>
      <w:r>
        <w:rPr>
          <w:color w:val="000000"/>
        </w:rPr>
        <w:t>    </w:t>
      </w:r>
      <w:r>
        <w:rPr>
          <w:rFonts w:ascii="Times New Roman;serif" w:hAnsi="Times New Roman;serif"/>
          <w:b w:val="false"/>
          <w:color w:val="000000"/>
          <w:sz w:val="24"/>
          <w:u w:val="single"/>
        </w:rPr>
        <w:t>Disclosure Controls</w:t>
      </w:r>
      <w:r>
        <w:rPr>
          <w:rFonts w:ascii="Times New Roman;serif" w:hAnsi="Times New Roman;serif"/>
          <w:b w:val="false"/>
          <w:color w:val="000000"/>
          <w:sz w:val="24"/>
        </w:rPr>
        <w:t xml:space="preserve">. The Company maintains disclosure controls and procedures (as such is defined in Rule 13a-15(e) of the Exchange Act Rules) that comply with the requirements of the Exchange Act;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 The Company has conducted evaluations of the effectiveness of its disclosure controls as required by Rule 13a-15 of the Exchange Act. </w:t>
      </w:r>
    </w:p>
    <w:p>
      <w:pPr>
        <w:pStyle w:val="TextBody"/>
        <w:bidi w:val="0"/>
        <w:spacing w:lineRule="auto" w:line="240" w:before="0" w:after="240"/>
        <w:ind w:left="0" w:right="0" w:firstLine="720"/>
        <w:jc w:val="both"/>
        <w:rPr/>
      </w:pPr>
      <w:r>
        <w:rPr>
          <w:rFonts w:ascii="Times New Roman;serif" w:hAnsi="Times New Roman;serif"/>
          <w:b w:val="false"/>
          <w:color w:val="000000"/>
          <w:sz w:val="24"/>
        </w:rPr>
        <w:t>(ad) </w:t>
      </w:r>
      <w:r>
        <w:rPr>
          <w:color w:val="000000"/>
        </w:rPr>
        <w:t>    </w:t>
      </w:r>
      <w:r>
        <w:rPr>
          <w:rFonts w:ascii="Times New Roman;serif" w:hAnsi="Times New Roman;serif"/>
          <w:b w:val="false"/>
          <w:color w:val="000000"/>
          <w:sz w:val="24"/>
          <w:u w:val="single"/>
        </w:rPr>
        <w:t>Compliance with Environmental Laws</w:t>
      </w:r>
      <w:r>
        <w:rPr>
          <w:rFonts w:ascii="Times New Roman;serif" w:hAnsi="Times New Roman;serif"/>
          <w:b w:val="false"/>
          <w:color w:val="000000"/>
          <w:sz w:val="24"/>
        </w:rPr>
        <w:t>. Except as otherwise described in the Prospectus, and except as would not, individually or in the aggregate, result in a Material Adverse Change (i) neither the Company nor any of its subsidiaries are, and at all times since January 1, 2019 were not, in violation of any federal, state, local or foreign law or regulation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serif" w:hAnsi="Times New Roman;serif"/>
          <w:b/>
          <w:color w:val="000000"/>
          <w:sz w:val="24"/>
          <w:u w:val="single"/>
        </w:rPr>
        <w:t>Materials of Environmental Concern</w:t>
      </w:r>
      <w:r>
        <w:rPr>
          <w:color w:val="000000"/>
        </w:rPr>
        <w:t>”</w:t>
      </w:r>
      <w:r>
        <w:rPr>
          <w:rFonts w:ascii="Times New Roman;serif" w:hAnsi="Times New Roman;serif"/>
          <w:b w:val="false"/>
          <w:color w:val="000000"/>
          <w:sz w:val="24"/>
        </w:rPr>
        <w:t>), or otherwise relating to the manufacture, processing, distribution, use, treatment, storage, disposal, transport or handling of Materials of Environmental Concern (collectively, “</w:t>
      </w:r>
      <w:r>
        <w:rPr>
          <w:rFonts w:ascii="Times New Roman;serif" w:hAnsi="Times New Roman;serif"/>
          <w:b/>
          <w:color w:val="000000"/>
          <w:sz w:val="24"/>
          <w:u w:val="single"/>
        </w:rPr>
        <w:t>Environmental Laws</w:t>
      </w:r>
      <w:r>
        <w:rPr>
          <w:color w:val="000000"/>
        </w:rPr>
        <w:t>”</w:t>
      </w:r>
      <w:r>
        <w:rPr>
          <w:rFonts w:ascii="Times New Roman;serif" w:hAnsi="Times New Roman;serif"/>
          <w:b w:val="false"/>
          <w:color w:val="000000"/>
          <w:sz w:val="24"/>
        </w:rPr>
        <w:t>), which violation includes, but is not limited to, noncompliance with any permits or other governmental authorizations required for the operation of the business of the Company or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there is no claim, action or cause of action filed with a court or governmental authority, no investigation with respect to which the Company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w:t>
      </w:r>
      <w:r>
        <w:rPr>
          <w:rFonts w:ascii="Times New Roman;serif" w:hAnsi="Times New Roman;serif"/>
          <w:b/>
          <w:color w:val="000000"/>
          <w:sz w:val="24"/>
          <w:u w:val="single"/>
        </w:rPr>
        <w:t>Environmental Claims</w:t>
      </w:r>
      <w:r>
        <w:rPr>
          <w:color w:val="000000"/>
        </w:rPr>
        <w:t>”</w:t>
      </w:r>
      <w:r>
        <w:rPr>
          <w:rFonts w:ascii="Times New Roman;serif" w:hAnsi="Times New Roman;serif"/>
          <w:b w:val="false"/>
          <w:color w:val="000000"/>
          <w:sz w:val="24"/>
        </w:rPr>
        <w:t xml:space="preserve">), pending or, to the Company’s knowledge, threatened against the </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6"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Company or any of its subsidiaries or any person or entity whose liability for any Environmental Claim the Company or any of its subsidiaries has retained or assumed either contractually or by operation of law which it is reasonably believed would impose monetary sanctions of $100,000 or more; and (iii) to the best of the Company’s knowledge, there are no present actions, and at all times since January 1, 2019 there have not been any, activities, circumstances, conditions, events or incidents, including, without limitation, the release, emission, discharge, presence or disposal of any Material of Environmental Concern, that reasonably could result in a violation of any Environmental Law or form the basis of a potential Environmental Claim against the Company or any of its subsidiaries or against any person or entity whose liability for any Environmental Claim the Company or any of its subsidiaries has retained or assumed either contractually or by operation of law, except in the case of clause (i) or (ii) where such noncompliance, violation, liability or other obligation would not, individually or in the aggregate, reasonably be expected to have a Material Adverse Change.</w:t>
      </w:r>
    </w:p>
    <w:p>
      <w:pPr>
        <w:pStyle w:val="TextBody"/>
        <w:bidi w:val="0"/>
        <w:spacing w:lineRule="auto" w:line="240" w:before="0" w:after="240"/>
        <w:ind w:left="0" w:right="0" w:firstLine="720"/>
        <w:jc w:val="both"/>
        <w:rPr/>
      </w:pPr>
      <w:r>
        <w:rPr>
          <w:rFonts w:ascii="Times New Roman;serif" w:hAnsi="Times New Roman;serif"/>
          <w:b w:val="false"/>
          <w:color w:val="000000"/>
          <w:sz w:val="24"/>
        </w:rPr>
        <w:t>(ae) </w:t>
      </w:r>
      <w:r>
        <w:rPr>
          <w:color w:val="000000"/>
        </w:rPr>
        <w:t>    </w:t>
      </w:r>
      <w:r>
        <w:rPr>
          <w:rFonts w:ascii="Times New Roman;serif" w:hAnsi="Times New Roman;serif"/>
          <w:b w:val="false"/>
          <w:color w:val="000000"/>
          <w:sz w:val="24"/>
          <w:u w:val="single"/>
        </w:rPr>
        <w:t>Intellectual Property</w:t>
      </w:r>
      <w:r>
        <w:rPr>
          <w:rFonts w:ascii="Times New Roman;serif" w:hAnsi="Times New Roman;serif"/>
          <w:b w:val="false"/>
          <w:color w:val="000000"/>
          <w:sz w:val="24"/>
        </w:rPr>
        <w:t>. Except as otherwise disclosed in the Registration Statement or the Prospectus, the Company and its subsidiaries own or possess the valid rights of use under all (i) material patents, patent applications, trademarks, trademark registrations, service marks, service mark registrations, Internet domain name registrations, copyrights, copyright registrations, licenses and trade secret rights (“</w:t>
      </w:r>
      <w:r>
        <w:rPr>
          <w:rFonts w:ascii="Times New Roman;serif" w:hAnsi="Times New Roman;serif"/>
          <w:b/>
          <w:color w:val="000000"/>
          <w:sz w:val="24"/>
          <w:u w:val="single"/>
        </w:rPr>
        <w:t>Intellectual Property Rights</w:t>
      </w:r>
      <w:r>
        <w:rPr>
          <w:color w:val="000000"/>
        </w:rPr>
        <w:t>”</w:t>
      </w:r>
      <w:r>
        <w:rPr>
          <w:rFonts w:ascii="Times New Roman;serif" w:hAnsi="Times New Roman;serif"/>
          <w:b w:val="false"/>
          <w:color w:val="000000"/>
          <w:sz w:val="24"/>
        </w:rPr>
        <w:t>) and (ii) material inventions, software, works of authorships, trademarks, service marks, trade names, databases, formulae, know how, Internet domain names and other intellectual property (including trade secrets and other unpatented and/or unpatentable proprietary confidential information, systems, or procedures) (collectively, “</w:t>
      </w:r>
      <w:r>
        <w:rPr>
          <w:rFonts w:ascii="Times New Roman;serif" w:hAnsi="Times New Roman;serif"/>
          <w:b/>
          <w:color w:val="000000"/>
          <w:sz w:val="24"/>
          <w:u w:val="single"/>
        </w:rPr>
        <w:t>Intellectual Property Assets</w:t>
      </w:r>
      <w:r>
        <w:rPr>
          <w:color w:val="000000"/>
        </w:rPr>
        <w:t>”</w:t>
      </w:r>
      <w:r>
        <w:rPr>
          <w:rFonts w:ascii="Times New Roman;serif" w:hAnsi="Times New Roman;serif"/>
          <w:b w:val="false"/>
          <w:color w:val="000000"/>
          <w:sz w:val="24"/>
        </w:rPr>
        <w:t>) necessary to conduct their respective businesses as currently conducted, and as proposed to be conducted and described in the Prospectus. The Company and its subsidiaries have not received any opinion from their legal counsel concluding that any activities of their respective businesses infringe, misappropriate, or otherwise violate, valid and enforceable Intellectual Property Rights of any other person, and except as described in the Prospectus, have not received written notice of any challenge, which is to their knowledge still pending, by any other person to the rights of the Company and its subsidiaries with respect to any Intellectual Property Rights or Intellectual Property Assets owned or used by the Company or its subsidiaries to conduct their respective businesses as currently conducted, and as proposed to be conducted and described in the Prospectus. To the knowledge of the Company, the Company and its subsidiaries’ respective businesses as now conducted do not infringe, misappropriate, or otherwise violate, any valid and enforceable Intellectual Property Rights of any other person. Each license agreement described in the Prospectus under which the Company or its subsidiaries licenses Intellectual Property Rights used by the Company or its subsidiaries to conduct their respective businesses (each, an “</w:t>
      </w:r>
      <w:r>
        <w:rPr>
          <w:rFonts w:ascii="Times New Roman;serif" w:hAnsi="Times New Roman;serif"/>
          <w:b/>
          <w:color w:val="000000"/>
          <w:sz w:val="24"/>
        </w:rPr>
        <w:t>Intellectual Property License</w:t>
      </w:r>
      <w:r>
        <w:rPr>
          <w:color w:val="000000"/>
        </w:rPr>
        <w:t>”</w:t>
      </w:r>
      <w:r>
        <w:rPr>
          <w:rFonts w:ascii="Times New Roman;serif" w:hAnsi="Times New Roman;serif"/>
          <w:b w:val="false"/>
          <w:color w:val="000000"/>
          <w:sz w:val="24"/>
        </w:rPr>
        <w:t>) are, to the knowledge of the Company, valid, binding upon, and enforceable by or against the parties thereto in accordance to its terms. The Company has complied in all material respects with, and is not in breach nor has received any asserted or threatened claim of breach of any Intellectual Property License, and the Company has no knowledge of any breach or anticipated breach by any other person to any Intellectual Property License. Except as described in the Prospectus, no claim has been made against the Company alleging the infringement by the Company of any patent, trademark, service mark, trade name, copyright, trade secret, license in or other intellectual property right or franchise right of any person. The Company has taken all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7"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(af) </w:t>
      </w:r>
      <w:r>
        <w:rPr>
          <w:color w:val="000000"/>
        </w:rPr>
        <w:t>    </w:t>
      </w:r>
      <w:r>
        <w:rPr>
          <w:rFonts w:ascii="Times New Roman;serif" w:hAnsi="Times New Roman;serif"/>
          <w:b w:val="false"/>
          <w:color w:val="000000"/>
          <w:sz w:val="24"/>
          <w:u w:val="single"/>
        </w:rPr>
        <w:t>Listing</w:t>
      </w:r>
      <w:r>
        <w:rPr>
          <w:rFonts w:ascii="Times New Roman;serif" w:hAnsi="Times New Roman;serif"/>
          <w:b w:val="false"/>
          <w:color w:val="000000"/>
          <w:sz w:val="24"/>
        </w:rPr>
        <w:t>. The Company is subject to and in compliance in all material respects with the reporting requirements of Section 13 or Section 15(d) of the Exchange Act. The Common Stock is registered pursuant to Section 12(b) or Section 12(g) of the Exchange Act and is listed on the Nasdaq, and the Company has taken no action designed to, or reasonably likely to have the effect of, terminating the registration of the Common Stock under the Exchange Act or delisting the Common Stock from Nasdaq, nor, except as otherwise disclosed in the Registration Statement or the Prospectus, has the Company received any notification that the Commission or Nasdaq is contemplating terminating such registration or listing. All of the Placement Shares that have been or may be sold under this Agreement have been approved for listing on the Nasdaq, subject to official notice of issuance; the Company has taken all necessary actions to ensure that, upon and at all times after the Nasdaq shall have approved the Placement Shares for listing, it will be in compliance with all applicable corporate governance requirements set forth in the Nasdaq’s listing rules that are then in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(ag) </w:t>
      </w:r>
      <w:r>
        <w:rPr>
          <w:color w:val="000000"/>
        </w:rPr>
        <w:t>    </w:t>
      </w:r>
      <w:r>
        <w:rPr>
          <w:rFonts w:ascii="Times New Roman;serif" w:hAnsi="Times New Roman;serif"/>
          <w:b w:val="false"/>
          <w:color w:val="000000"/>
          <w:sz w:val="24"/>
          <w:u w:val="single"/>
        </w:rPr>
        <w:t>Brokers</w:t>
      </w:r>
      <w:r>
        <w:rPr>
          <w:rFonts w:ascii="Times New Roman;serif" w:hAnsi="Times New Roman;serif"/>
          <w:b w:val="false"/>
          <w:color w:val="000000"/>
          <w:sz w:val="24"/>
        </w:rPr>
        <w:t xml:space="preserve">. Except for TD Cowen, there is no broker, finder or other party that is entitled to receive from the Company any brokerage or finder’s fee or other fee or commission as a result of any transactions contemplated by this Agreement.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(ah) </w:t>
      </w:r>
      <w:r>
        <w:rPr>
          <w:color w:val="000000"/>
        </w:rPr>
        <w:t>    </w:t>
      </w:r>
      <w:r>
        <w:rPr>
          <w:rFonts w:ascii="Times New Roman;serif" w:hAnsi="Times New Roman;serif"/>
          <w:b w:val="false"/>
          <w:color w:val="000000"/>
          <w:sz w:val="24"/>
          <w:u w:val="single"/>
        </w:rPr>
        <w:t>No Outstanding Loans or Other Indebtedness</w:t>
      </w:r>
      <w:r>
        <w:rPr>
          <w:rFonts w:ascii="Times New Roman;serif" w:hAnsi="Times New Roman;serif"/>
          <w:b w:val="false"/>
          <w:color w:val="000000"/>
          <w:sz w:val="24"/>
        </w:rPr>
        <w:t>. Except as described in the Prospectus, there are no outstanding loans, advances (except normal advances for business expenses in the ordinary course of business) or guarantees (except for letters of credit in the ordinary course of business) or indebtedness by the Company to or for the benefit of any of the officers or directors of the Company or any of the members of any of them.</w:t>
      </w:r>
    </w:p>
    <w:p>
      <w:pPr>
        <w:pStyle w:val="TextBody"/>
        <w:bidi w:val="0"/>
        <w:spacing w:lineRule="auto" w:line="240" w:before="0" w:after="240"/>
        <w:ind w:left="0" w:right="0" w:firstLine="720"/>
        <w:jc w:val="both"/>
        <w:rPr/>
      </w:pPr>
      <w:r>
        <w:rPr>
          <w:rFonts w:ascii="Times New Roman;serif" w:hAnsi="Times New Roman;serif"/>
          <w:b w:val="false"/>
          <w:color w:val="000000"/>
          <w:sz w:val="24"/>
        </w:rPr>
        <w:t>(ai) </w:t>
      </w:r>
      <w:r>
        <w:rPr>
          <w:color w:val="000000"/>
        </w:rPr>
        <w:t>    </w:t>
      </w:r>
      <w:r>
        <w:rPr>
          <w:rFonts w:ascii="Times New Roman;serif" w:hAnsi="Times New Roman;serif"/>
          <w:b w:val="false"/>
          <w:color w:val="000000"/>
          <w:sz w:val="24"/>
          <w:u w:val="single"/>
        </w:rPr>
        <w:t>No Reliance</w:t>
      </w:r>
      <w:r>
        <w:rPr>
          <w:rFonts w:ascii="Times New Roman;serif" w:hAnsi="Times New Roman;serif"/>
          <w:b w:val="false"/>
          <w:color w:val="000000"/>
          <w:sz w:val="24"/>
        </w:rPr>
        <w:t xml:space="preserve">. The Company has not relied upon TD Cowen or legal counsel for TD Cowen for any legal, tax or accounting advice in connection with the offering and sale of the Placement Shares.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(aj) </w:t>
      </w:r>
      <w:r>
        <w:rPr>
          <w:color w:val="000000"/>
        </w:rPr>
        <w:t>    </w:t>
      </w:r>
      <w:r>
        <w:rPr>
          <w:rFonts w:ascii="Times New Roman;serif" w:hAnsi="Times New Roman;serif"/>
          <w:b w:val="false"/>
          <w:color w:val="000000"/>
          <w:sz w:val="24"/>
          <w:u w:val="single"/>
        </w:rPr>
        <w:t>FINRA Exemption</w:t>
      </w:r>
      <w:r>
        <w:rPr>
          <w:rFonts w:ascii="Times New Roman;serif" w:hAnsi="Times New Roman;serif"/>
          <w:b w:val="false"/>
          <w:color w:val="000000"/>
          <w:sz w:val="24"/>
        </w:rPr>
        <w:t>. The Company meets the definition of the term “experienced issuer” specified in FINRA Rule 5110(j)(6).</w:t>
      </w:r>
    </w:p>
    <w:p>
      <w:pPr>
        <w:pStyle w:val="TextBody"/>
        <w:bidi w:val="0"/>
        <w:spacing w:lineRule="auto" w:line="240" w:before="0" w:after="240"/>
        <w:ind w:left="0" w:right="0" w:firstLine="720"/>
        <w:jc w:val="both"/>
        <w:rPr/>
      </w:pPr>
      <w:r>
        <w:rPr>
          <w:rFonts w:ascii="Times New Roman;serif" w:hAnsi="Times New Roman;serif"/>
          <w:b w:val="false"/>
          <w:color w:val="000000"/>
          <w:sz w:val="24"/>
        </w:rPr>
        <w:t>(ak) </w:t>
      </w:r>
      <w:r>
        <w:rPr>
          <w:color w:val="000000"/>
        </w:rPr>
        <w:t>    </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w:t>
      </w:r>
    </w:p>
    <w:p>
      <w:pPr>
        <w:pStyle w:val="TextBody"/>
        <w:bidi w:val="0"/>
        <w:spacing w:lineRule="auto" w:line="240" w:before="0" w:after="240"/>
        <w:ind w:left="0" w:right="0" w:firstLine="720"/>
        <w:jc w:val="both"/>
        <w:rPr/>
      </w:pPr>
      <w:r>
        <w:rPr>
          <w:rFonts w:ascii="Times New Roman;serif" w:hAnsi="Times New Roman;serif"/>
          <w:b w:val="false"/>
          <w:color w:val="000000"/>
          <w:sz w:val="24"/>
        </w:rPr>
        <w:t>(al) </w:t>
      </w:r>
      <w:r>
        <w:rPr>
          <w:color w:val="000000"/>
        </w:rPr>
        <w:t>    </w:t>
      </w:r>
      <w:r>
        <w:rPr>
          <w:rFonts w:ascii="Times New Roman;serif" w:hAnsi="Times New Roman;serif"/>
          <w:b w:val="false"/>
          <w:color w:val="000000"/>
          <w:sz w:val="24"/>
          <w:u w:val="single"/>
        </w:rPr>
        <w:t>Privacy Laws</w:t>
      </w:r>
      <w:r>
        <w:rPr>
          <w:rFonts w:ascii="Times New Roman;serif" w:hAnsi="Times New Roman;serif"/>
          <w:b w:val="false"/>
          <w:color w:val="000000"/>
          <w:sz w:val="24"/>
        </w:rPr>
        <w:t>. Except as otherwise described in the Prospectus, and except as would not, individually or in the aggregate, result in a Material Adverse Change, the Company and each of its subsidiaries (i) are, and at all prior times since January 1, 2019 were, in compliance with all applicable data privacy and security laws and regulations, including, without limitation, as applicable, the Health Insurance Portability and Accountability Act (“</w:t>
      </w:r>
      <w:r>
        <w:rPr>
          <w:rFonts w:ascii="Times New Roman;serif" w:hAnsi="Times New Roman;serif"/>
          <w:b/>
          <w:color w:val="000000"/>
          <w:sz w:val="24"/>
          <w:u w:val="single"/>
        </w:rPr>
        <w:t>HIPAA</w:t>
      </w:r>
      <w:r>
        <w:rPr>
          <w:color w:val="000000"/>
        </w:rPr>
        <w:t>”</w:t>
      </w:r>
      <w:r>
        <w:rPr>
          <w:rFonts w:ascii="Times New Roman;serif" w:hAnsi="Times New Roman;serif"/>
          <w:b w:val="false"/>
          <w:color w:val="000000"/>
          <w:sz w:val="24"/>
        </w:rPr>
        <w:t>), as amended by the Health Information Technology for Economic and Clinical Health Act (42 U.S.C. Section 17921 et seq.), and the European Union General Data Protection Regulation (“</w:t>
      </w:r>
      <w:r>
        <w:rPr>
          <w:rFonts w:ascii="Times New Roman;serif" w:hAnsi="Times New Roman;serif"/>
          <w:b/>
          <w:color w:val="000000"/>
          <w:sz w:val="24"/>
          <w:u w:val="single"/>
        </w:rPr>
        <w:t>GDPR</w:t>
      </w:r>
      <w:r>
        <w:rPr>
          <w:color w:val="000000"/>
        </w:rPr>
        <w:t>”</w:t>
      </w:r>
      <w:r>
        <w:rPr>
          <w:rFonts w:ascii="Times New Roman;serif" w:hAnsi="Times New Roman;serif"/>
          <w:b w:val="false"/>
          <w:color w:val="000000"/>
          <w:sz w:val="24"/>
        </w:rPr>
        <w:t>) (EU 2016/679) (collectively, “</w:t>
      </w:r>
      <w:r>
        <w:rPr>
          <w:rFonts w:ascii="Times New Roman;serif" w:hAnsi="Times New Roman;serif"/>
          <w:b/>
          <w:color w:val="000000"/>
          <w:sz w:val="24"/>
          <w:u w:val="single"/>
        </w:rPr>
        <w:t>Privacy Laws</w:t>
      </w:r>
      <w:r>
        <w:rPr>
          <w:color w:val="000000"/>
        </w:rPr>
        <w:t>”</w:t>
      </w:r>
      <w:r>
        <w:rPr>
          <w:rFonts w:ascii="Times New Roman;serif" w:hAnsi="Times New Roman;serif"/>
          <w:b w:val="false"/>
          <w:color w:val="000000"/>
          <w:sz w:val="24"/>
        </w:rPr>
        <w:t>); and (ii) maintain and take appropriate steps reasonably designed to ensure compliance in all material respects by applicable persons, as required by Privacy Laws, with their policies and procedures relating to data privacy and security and the collection, storage, use, disclosure, handling and analysis of Personal Data (the “</w:t>
      </w:r>
      <w:r>
        <w:rPr>
          <w:rFonts w:ascii="Times New Roman;serif" w:hAnsi="Times New Roman;serif"/>
          <w:b/>
          <w:color w:val="000000"/>
          <w:sz w:val="24"/>
          <w:u w:val="single"/>
        </w:rPr>
        <w:t>Policies</w:t>
      </w:r>
      <w:r>
        <w:rPr>
          <w:color w:val="000000"/>
        </w:rPr>
        <w:t>”</w:t>
      </w:r>
      <w:r>
        <w:rPr>
          <w:rFonts w:ascii="Times New Roman;serif" w:hAnsi="Times New Roman;serif"/>
          <w:b w:val="false"/>
          <w:color w:val="000000"/>
          <w:sz w:val="24"/>
        </w:rPr>
        <w:t>). “</w:t>
      </w:r>
      <w:r>
        <w:rPr>
          <w:rFonts w:ascii="Times New Roman;serif" w:hAnsi="Times New Roman;serif"/>
          <w:b/>
          <w:color w:val="000000"/>
          <w:sz w:val="24"/>
          <w:u w:val="single"/>
        </w:rPr>
        <w:t>Personal Data</w:t>
      </w:r>
      <w:r>
        <w:rPr>
          <w:color w:val="000000"/>
        </w:rPr>
        <w:t xml:space="preserve">” </w:t>
      </w:r>
      <w:r>
        <w:rPr>
          <w:rFonts w:ascii="Times New Roman;serif" w:hAnsi="Times New Roman;serif"/>
          <w:b w:val="false"/>
          <w:color w:val="000000"/>
          <w:sz w:val="24"/>
        </w:rPr>
        <w:t xml:space="preserve">means (i) a natural person’s name, street address, telephone number, email address, photograph, social security number, individually identifiable bank information, or customer or account number; (ii) any information which would qualify as “personally identifying information” under the Federal Trade Commission Act, as amended; (iii) Protected Health Information as defined by HIPAA; (iv) “personal data” as defined by GDPR; and (v) any other piece of information that allows the identification of such natural person, or his </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8"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or her family, or permits the collection or analysis of any data related to an identified person’s health or sexual orientation. Except as otherwise described in the Prospectus, and except as would not, individually or in the aggregate, result in a Material Adverse Change, (i) none of such disclosures made or contained in any of the Policies have been in violation of any Privacy Laws; (ii) the execution, delivery and performance of this Agreement will not result in a breach of any Privacy Laws or Policies; and (iii) neither the Company nor any of its subsidiaries (A) has received written notice of any of their actual or potential liability under or relating to, or their actual or potential violation of, any of the Privacy Laws; (B) is currently conducting or paying for, in whole or in part, any investigation, remediation or other corrective action pursuant to any governmental or regulatory demand, judgment, or order under any Privacy Law; or (C) is a party to any order, decree, or agreement by, with, or under the authority of any governmental or regulatory authority that imposed any obligation or liability upon the Company or any of its subsidiaries under any Privacy Law. </w:t>
      </w:r>
    </w:p>
    <w:p>
      <w:pPr>
        <w:pStyle w:val="TextBody"/>
        <w:bidi w:val="0"/>
        <w:spacing w:lineRule="auto" w:line="240" w:before="0" w:after="240"/>
        <w:ind w:left="0" w:right="0" w:firstLine="720"/>
        <w:jc w:val="both"/>
        <w:rPr/>
      </w:pPr>
      <w:r>
        <w:rPr>
          <w:rFonts w:ascii="Times New Roman;serif" w:hAnsi="Times New Roman;serif"/>
          <w:b w:val="false"/>
          <w:color w:val="000000"/>
          <w:sz w:val="24"/>
        </w:rPr>
        <w:t>(am) </w:t>
      </w:r>
      <w:r>
        <w:rPr>
          <w:color w:val="000000"/>
        </w:rPr>
        <w:t>    </w:t>
      </w:r>
      <w:r>
        <w:rPr>
          <w:rFonts w:ascii="Times New Roman;serif" w:hAnsi="Times New Roman;serif"/>
          <w:b w:val="false"/>
          <w:color w:val="000000"/>
          <w:sz w:val="24"/>
          <w:u w:val="single"/>
        </w:rPr>
        <w:t>IT Systems</w:t>
      </w:r>
      <w:r>
        <w:rPr>
          <w:rFonts w:ascii="Times New Roman;serif" w:hAnsi="Times New Roman;serif"/>
          <w:b w:val="false"/>
          <w:color w:val="000000"/>
          <w:sz w:val="24"/>
        </w:rPr>
        <w:t>. Except as otherwise described in the Prospectus, and except as would not, individually or in the aggregate, result in a Material Adverse Change, since January 1, 2019, (i)(x) there has been no security breach or other compromise of any of the Company’s and its subsidiaries’ information technology and computer systems, networks, hardware, software, Personal Data, or other confidential, regulated, or sensitive data (including any such data of their respective customers, employees, suppliers, vendors and any third party data maintained by or on behalf of them), equipment or technology (“</w:t>
      </w:r>
      <w:r>
        <w:rPr>
          <w:rFonts w:ascii="Times New Roman;serif" w:hAnsi="Times New Roman;serif"/>
          <w:b/>
          <w:color w:val="000000"/>
          <w:sz w:val="24"/>
          <w:u w:val="single"/>
        </w:rPr>
        <w:t>IT Systems and Data</w:t>
      </w:r>
      <w:r>
        <w:rPr>
          <w:color w:val="000000"/>
        </w:rPr>
        <w:t>”</w:t>
      </w:r>
      <w:r>
        <w:rPr>
          <w:rFonts w:ascii="Times New Roman;serif" w:hAnsi="Times New Roman;serif"/>
          <w:b w:val="false"/>
          <w:color w:val="000000"/>
          <w:sz w:val="24"/>
        </w:rPr>
        <w:t>), and (y) the Company and its subsidiaries have not been notified of any security breach or compromise of their IT Systems and Data, (ii) the Company and each of its subsidiaries have complied, and are presently in compliance with, all applicable laws and statutes or any applicable binding judgment, order, rule, or regulation of any court or arbitrator or governmental or regulatory authority, and all of the Company’s and its subsidiaries’ internal policies and contractual obligations relating to the privacy and security of IT Systems and Data and to the protection of such IT Systems and Data from unauthorized use, access, misappropriation or modification, and (iii) the Company and each of its subsidiaries have implemented reasonable and appropriate backup and disaster recovery technology consistent with industry standards and practice.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(an) </w:t>
      </w:r>
      <w:r>
        <w:rPr>
          <w:rFonts w:ascii="Times New Roman;serif" w:hAnsi="Times New Roman;serif"/>
          <w:b w:val="false"/>
          <w:color w:val="000000"/>
          <w:sz w:val="24"/>
          <w:u w:val="single"/>
        </w:rPr>
        <w:t>Export and Import Laws</w:t>
      </w:r>
      <w:r>
        <w:rPr>
          <w:rFonts w:ascii="Times New Roman;serif" w:hAnsi="Times New Roman;serif"/>
          <w:b w:val="false"/>
          <w:color w:val="000000"/>
          <w:sz w:val="24"/>
        </w:rPr>
        <w:t>. Each of the Company and its subsidiaries, and, to the Company’s knowledge, each of their controlled affiliates and any director, officer, agent or employee of, or other person associated with or acting on behalf of the Company has acted at all times since January 1, 2019 in material compliance with applicable Export and Import Laws (as defined below) and there are no material claims, complaints, charges, investigations or proceedings pending or expected or, to the knowledge of the Company, threatened between the Company or any of its subsidiaries and any Governmental Authority under any Export or Import Laws. The term “</w:t>
      </w:r>
      <w:r>
        <w:rPr>
          <w:rFonts w:ascii="Times New Roman;serif" w:hAnsi="Times New Roman;serif"/>
          <w:b/>
          <w:color w:val="000000"/>
          <w:sz w:val="24"/>
          <w:u w:val="single"/>
        </w:rPr>
        <w:t>Export and Import Laws</w:t>
      </w:r>
      <w:r>
        <w:rPr>
          <w:color w:val="000000"/>
        </w:rPr>
        <w:t xml:space="preserve">” </w:t>
      </w:r>
      <w:r>
        <w:rPr>
          <w:rFonts w:ascii="Times New Roman;serif" w:hAnsi="Times New Roman;serif"/>
          <w:b w:val="false"/>
          <w:color w:val="000000"/>
          <w:sz w:val="24"/>
        </w:rPr>
        <w:t>means, as applicable to the Company,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pStyle w:val="TextBody"/>
        <w:bidi w:val="0"/>
        <w:spacing w:lineRule="auto" w:line="240" w:before="0" w:after="240"/>
        <w:ind w:left="0" w:right="0" w:firstLine="720"/>
        <w:jc w:val="both"/>
        <w:rPr/>
      </w:pPr>
      <w:r>
        <w:rPr>
          <w:rFonts w:ascii="Times New Roman;serif" w:hAnsi="Times New Roman;serif"/>
          <w:b w:val="false"/>
          <w:color w:val="000000"/>
          <w:sz w:val="24"/>
        </w:rPr>
        <w:t>(ao) </w:t>
      </w:r>
      <w:r>
        <w:rPr>
          <w:rFonts w:ascii="Times New Roman;serif" w:hAnsi="Times New Roman;serif"/>
          <w:b w:val="false"/>
          <w:color w:val="000000"/>
          <w:sz w:val="24"/>
          <w:u w:val="single"/>
        </w:rPr>
        <w:t>No Labor Disputes</w:t>
      </w:r>
      <w:r>
        <w:rPr>
          <w:rFonts w:ascii="Times New Roman;serif" w:hAnsi="Times New Roman;serif"/>
          <w:b w:val="false"/>
          <w:color w:val="000000"/>
          <w:sz w:val="24"/>
        </w:rPr>
        <w:t>.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singly or in the aggregate, would reasonably be expected to have a material adverse effect on the Company and its subsidiaries, taken as a whole.</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9"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(ap) </w:t>
      </w:r>
      <w:r>
        <w:rPr>
          <w:rFonts w:ascii="Times New Roman;serif" w:hAnsi="Times New Roman;serif"/>
          <w:b w:val="false"/>
          <w:color w:val="000000"/>
          <w:sz w:val="24"/>
          <w:u w:val="single"/>
        </w:rPr>
        <w:t>Regulatory Compliance</w:t>
      </w:r>
      <w:r>
        <w:rPr>
          <w:rFonts w:ascii="Times New Roman;serif" w:hAnsi="Times New Roman;serif"/>
          <w:b w:val="false"/>
          <w:color w:val="000000"/>
          <w:sz w:val="24"/>
        </w:rPr>
        <w:t>. Neither the FDA nor any other governmental entity has provided written or verbal notice to the Company that the Company’s platform or product candidates are in violation of the Federal Food, Drug, and Cosmetic Act (21 U.S.C. § 301 et seq.), the Public Health Service Act (42 U.S.C. § 201 et seq.) or similar federal, state or foreign laws (collectively, the “</w:t>
      </w:r>
      <w:r>
        <w:rPr>
          <w:rFonts w:ascii="Times New Roman;serif" w:hAnsi="Times New Roman;serif"/>
          <w:b/>
          <w:color w:val="000000"/>
          <w:sz w:val="24"/>
          <w:u w:val="single"/>
        </w:rPr>
        <w:t>Public Health Laws</w:t>
      </w:r>
      <w:r>
        <w:rPr>
          <w:color w:val="000000"/>
        </w:rPr>
        <w:t>”</w:t>
      </w:r>
      <w:r>
        <w:rPr>
          <w:rFonts w:ascii="Times New Roman;serif" w:hAnsi="Times New Roman;serif"/>
          <w:b w:val="false"/>
          <w:color w:val="000000"/>
          <w:sz w:val="24"/>
        </w:rPr>
        <w:t>), as applicable. Since January 1, 2021, the Company has not held any premarket clearance or approval granted by the FDA or any comparable marketing authorization by a similar governmental entity as required by applicable law before commercializing a medical device or a pharmaceutical product (“</w:t>
      </w:r>
      <w:r>
        <w:rPr>
          <w:rFonts w:ascii="Times New Roman;serif" w:hAnsi="Times New Roman;serif"/>
          <w:b/>
          <w:color w:val="000000"/>
          <w:sz w:val="24"/>
          <w:u w:val="single"/>
        </w:rPr>
        <w:t>Regulatory Permits</w:t>
      </w:r>
      <w:r>
        <w:rPr>
          <w:color w:val="000000"/>
        </w:rPr>
        <w:t>”</w:t>
      </w:r>
      <w:r>
        <w:rPr>
          <w:rFonts w:ascii="Times New Roman;serif" w:hAnsi="Times New Roman;serif"/>
          <w:b w:val="false"/>
          <w:color w:val="000000"/>
          <w:sz w:val="24"/>
        </w:rPr>
        <w:t>). To the Company’s knowledge, no governmental entity has informed the Company that a Regulatory Permit is required for the Company to conduct its business as currently conducted.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(aq) </w:t>
      </w:r>
      <w:r>
        <w:rPr>
          <w:rFonts w:ascii="Times New Roman;serif" w:hAnsi="Times New Roman;serif"/>
          <w:b w:val="false"/>
          <w:color w:val="000000"/>
          <w:sz w:val="24"/>
          <w:u w:val="single"/>
        </w:rPr>
        <w:t>Sarbanes-Oxley</w:t>
      </w:r>
      <w:r>
        <w:rPr>
          <w:rFonts w:ascii="Times New Roman;serif" w:hAnsi="Times New Roman;serif"/>
          <w:b w:val="false"/>
          <w:color w:val="000000"/>
          <w:sz w:val="24"/>
        </w:rPr>
        <w:t>. There is and has been no failure on the part of the Company or, to the Company’s knowledge, any of its directors or officers, in their capacities as such, to comply with any applicable provision of the Sarbanes-Oxley Act of 2002, as amended and the rules and regulations promulgated in connection therewith (the “</w:t>
      </w:r>
      <w:r>
        <w:rPr>
          <w:rFonts w:ascii="Times New Roman;serif" w:hAnsi="Times New Roman;serif"/>
          <w:b/>
          <w:color w:val="000000"/>
          <w:sz w:val="24"/>
          <w:u w:val="single"/>
        </w:rPr>
        <w:t>Sarbanes-Oxley Act</w:t>
      </w:r>
      <w:r>
        <w:rPr>
          <w:color w:val="000000"/>
        </w:rPr>
        <w:t>”</w:t>
      </w:r>
      <w:r>
        <w:rPr>
          <w:rFonts w:ascii="Times New Roman;serif" w:hAnsi="Times New Roman;serif"/>
          <w:b w:val="false"/>
          <w:color w:val="000000"/>
          <w:sz w:val="24"/>
        </w:rPr>
        <w:t>), including Section 402 related to loans and Sections 302 and 906 related to certifications.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(ar) </w:t>
      </w:r>
      <w:r>
        <w:rPr>
          <w:rFonts w:ascii="Times New Roman;serif" w:hAnsi="Times New Roman;serif"/>
          <w:b w:val="false"/>
          <w:color w:val="000000"/>
          <w:sz w:val="24"/>
          <w:u w:val="single"/>
        </w:rPr>
        <w:t>Other Underwriting Agreements</w:t>
      </w:r>
      <w:r>
        <w:rPr>
          <w:rFonts w:ascii="Times New Roman;serif" w:hAnsi="Times New Roman;serif"/>
          <w:b w:val="false"/>
          <w:color w:val="000000"/>
          <w:sz w:val="24"/>
        </w:rPr>
        <w:t>. The Company is not a party to any agreement with an agent or underwriter for any other “at the market” or continuous equity transaction.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(as) </w:t>
      </w:r>
      <w:r>
        <w:rPr>
          <w:rFonts w:ascii="Times New Roman;serif" w:hAnsi="Times New Roman;serif"/>
          <w:b w:val="false"/>
          <w:color w:val="000000"/>
          <w:sz w:val="24"/>
          <w:u w:val="single"/>
        </w:rPr>
        <w:t>Outbound Investment Security Program</w:t>
      </w:r>
      <w:r>
        <w:rPr>
          <w:rFonts w:ascii="Times New Roman;serif" w:hAnsi="Times New Roman;serif"/>
          <w:b w:val="false"/>
          <w:color w:val="000000"/>
          <w:sz w:val="24"/>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(“Covered Activity”).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certificate signed by an officer of the Company and delivered to TD Cowen or to counsel for TD Cowen pursuant to or in connection with this Agreement shall be deemed to be a representation and warranty by the Company to TD Cowen as to the matters set forth therein.</w:t>
      </w:r>
    </w:p>
    <w:p>
      <w:pPr>
        <w:pStyle w:val="TextBody"/>
        <w:bidi w:val="0"/>
        <w:spacing w:lineRule="auto" w:line="288" w:before="0" w:after="240"/>
        <w:jc w:val="both"/>
        <w:rPr/>
      </w:pPr>
      <w:r>
        <w:rPr>
          <w:rFonts w:ascii="Times New Roman;serif" w:hAnsi="Times New Roman;serif"/>
          <w:b w:val="false"/>
          <w:color w:val="000000"/>
          <w:sz w:val="24"/>
        </w:rPr>
        <w:t xml:space="preserve">The Company acknowledges that TD Cowen and, for purposes of the opinions to be delivered pursuant to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hereof, counsel to the Company and counsel to TD Cowen, will rely upon the accuracy and truthfulness of the foregoing representations and hereby consents to such reliance.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Covenants of the Company</w:t>
      </w:r>
      <w:r>
        <w:rPr>
          <w:rFonts w:ascii="Times New Roman;serif" w:hAnsi="Times New Roman;serif"/>
          <w:b w:val="false"/>
          <w:color w:val="000000"/>
          <w:sz w:val="24"/>
        </w:rPr>
        <w:t>. The Company covenants and agrees with TD Cowen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(a) </w:t>
      </w:r>
      <w:r>
        <w:rPr>
          <w:color w:val="000000"/>
        </w:rPr>
        <w:t>    </w:t>
      </w:r>
      <w:r>
        <w:rPr>
          <w:rFonts w:ascii="Times New Roman;serif" w:hAnsi="Times New Roman;serif"/>
          <w:b w:val="false"/>
          <w:color w:val="000000"/>
          <w:sz w:val="24"/>
          <w:u w:val="single"/>
        </w:rPr>
        <w:t>Registration Statement Amendments</w:t>
      </w:r>
      <w:r>
        <w:rPr>
          <w:rFonts w:ascii="Times New Roman;serif" w:hAnsi="Times New Roman;serif"/>
          <w:b w:val="false"/>
          <w:color w:val="000000"/>
          <w:sz w:val="24"/>
        </w:rPr>
        <w:t xml:space="preserve">. After the date of this Agreement and during any period in which a Prospectus relating to any Placement Shares is required to be delivered by TD Cowen under the Securities Act (including in circumstances where such requirement may be satisfied pursuant to Rule 172 under the Securities Act), (i) the Company will notify TD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(insofar as it relates to the Placement Shares or the transactions contemplated hereby), (ii) the Company will prepare and file with the </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20"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Commission, promptly upon TD Cowen’s request, any amendments or supplements to the Registration Statement or Prospectus that, in TD Cowen’s reasonable opinion, may be necessary or advisable in connection with the distribution of the Placement Shares by TD Cowen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failure of TD Cowen to make such request shall not relieve the Company of any obligation or liability hereunder, or affect TD Cowen’s right to rely on the representations and warranties made by the Company in this Agreement);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TD Cowen within a reasonable period of time before the filing and TD Cowen has not reasonably objected thereto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failure of TD Cowen to make such objection shall not relieve the Company of any obligation or liability hereunder, or affect TD Cowen’s right to rely on the representations and warranties made by the Company in this Agreement) and the Company will furnish to TD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TD Cowen if at any time the Registration Statement shall no longer be effective as a result of the passage of time pursuant to Rule 415 under the Securities Act or otherwise. Prior to the initial sale of any Placement Shares, the Company shall file a final Prospectus Supplement pursuant to Rule 424(b) relating to the Placement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 </w:t>
      </w:r>
      <w:r>
        <w:rPr>
          <w:color w:val="000000"/>
        </w:rPr>
        <w:t>    </w:t>
      </w:r>
      <w:r>
        <w:rPr>
          <w:rFonts w:ascii="Times New Roman;serif" w:hAnsi="Times New Roman;serif"/>
          <w:b w:val="false"/>
          <w:color w:val="000000"/>
          <w:sz w:val="24"/>
          <w:u w:val="single"/>
        </w:rPr>
        <w:t>Notice of Commission Stop Orders</w:t>
      </w:r>
      <w:r>
        <w:rPr>
          <w:rFonts w:ascii="Times New Roman;serif" w:hAnsi="Times New Roman;serif"/>
          <w:b w:val="false"/>
          <w:color w:val="000000"/>
          <w:sz w:val="24"/>
        </w:rPr>
        <w:t>. The Company will advise TD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pStyle w:val="TextBody"/>
        <w:bidi w:val="0"/>
        <w:spacing w:lineRule="auto" w:line="240" w:before="0" w:after="240"/>
        <w:ind w:left="0" w:right="0" w:firstLine="720"/>
        <w:jc w:val="both"/>
        <w:rPr/>
      </w:pPr>
      <w:r>
        <w:rPr>
          <w:rFonts w:ascii="Times New Roman;serif" w:hAnsi="Times New Roman;serif"/>
          <w:b w:val="false"/>
          <w:color w:val="000000"/>
          <w:sz w:val="24"/>
        </w:rPr>
        <w:t>(c) </w:t>
      </w:r>
      <w:r>
        <w:rPr>
          <w:color w:val="000000"/>
        </w:rPr>
        <w:t>    </w:t>
      </w:r>
      <w:r>
        <w:rPr>
          <w:rFonts w:ascii="Times New Roman;serif" w:hAnsi="Times New Roman;serif"/>
          <w:b w:val="false"/>
          <w:color w:val="000000"/>
          <w:sz w:val="24"/>
          <w:u w:val="single"/>
        </w:rPr>
        <w:t>Delivery of Prospectus; Subsequent Changes</w:t>
      </w:r>
      <w:r>
        <w:rPr>
          <w:rFonts w:ascii="Times New Roman;serif" w:hAnsi="Times New Roman;serif"/>
          <w:b w:val="false"/>
          <w:color w:val="000000"/>
          <w:sz w:val="24"/>
        </w:rPr>
        <w:t xml:space="preserve">. During any period in which a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TD Cowen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serif" w:hAnsi="Times New Roman;serif"/>
          <w:b w:val="false"/>
          <w:i/>
          <w:color w:val="000000"/>
          <w:sz w:val="24"/>
        </w:rPr>
        <w:t>provided, that</w:t>
      </w:r>
      <w:r>
        <w:rPr>
          <w:rFonts w:ascii="Times New Roman;serif" w:hAnsi="Times New Roman;serif"/>
          <w:b w:val="false"/>
          <w:color w:val="000000"/>
          <w:sz w:val="24"/>
        </w:rPr>
        <w:t>, the Company may delay the filing of any amendment or supplement, if in the judgment of the Company, it is in the best interest of the Company, during which time of delay TD Cowen shall be under no obligation to make any sales of Placement Shares hereunder.</w:t>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21"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 </w:t>
      </w:r>
      <w:r>
        <w:rPr>
          <w:color w:val="000000"/>
        </w:rPr>
        <w:t>    </w:t>
      </w:r>
      <w:r>
        <w:rPr>
          <w:rFonts w:ascii="Times New Roman;serif" w:hAnsi="Times New Roman;serif"/>
          <w:b w:val="false"/>
          <w:color w:val="000000"/>
          <w:sz w:val="24"/>
          <w:u w:val="single"/>
        </w:rPr>
        <w:t>Listing of Placement Shares</w:t>
      </w:r>
      <w:r>
        <w:rPr>
          <w:rFonts w:ascii="Times New Roman;serif" w:hAnsi="Times New Roman;serif"/>
          <w:b w:val="false"/>
          <w:color w:val="000000"/>
          <w:sz w:val="24"/>
        </w:rPr>
        <w:t xml:space="preserve">. During any period in which the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TD Cowen reasonably designates and to continue such qualifications in effect so long as required for the distribution of the Placement Shares;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the Company shall not be required in connection therewith to qualify as a foreign corporation or dealer in securities or file a general consent to service of process in any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(e) </w:t>
      </w:r>
      <w:r>
        <w:rPr>
          <w:color w:val="000000"/>
        </w:rPr>
        <w:t>    </w:t>
      </w:r>
      <w:r>
        <w:rPr>
          <w:rFonts w:ascii="Times New Roman;serif" w:hAnsi="Times New Roman;serif"/>
          <w:b w:val="false"/>
          <w:color w:val="000000"/>
          <w:sz w:val="24"/>
          <w:u w:val="single"/>
        </w:rPr>
        <w:t>Delivery of Registration Statement and Prospectus</w:t>
      </w:r>
      <w:r>
        <w:rPr>
          <w:rFonts w:ascii="Times New Roman;serif" w:hAnsi="Times New Roman;serif"/>
          <w:b w:val="false"/>
          <w:color w:val="000000"/>
          <w:sz w:val="24"/>
        </w:rPr>
        <w:t xml:space="preserve">. The Company will furnish to TD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TD Cowen may from time to time reasonably request and, at TD Cowen’s request, will also furnish copies of the Prospectus to each exchange or market on which sales of the Placement Shares may be made;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the Company shall not be required to furnish any document (other than the Prospectus) to TD Cowen to the extent such document is available on EDGAR. </w:t>
      </w:r>
    </w:p>
    <w:p>
      <w:pPr>
        <w:pStyle w:val="TextBody"/>
        <w:bidi w:val="0"/>
        <w:spacing w:lineRule="auto" w:line="240" w:before="0" w:after="240"/>
        <w:ind w:left="0" w:right="0" w:firstLine="720"/>
        <w:jc w:val="both"/>
        <w:rPr/>
      </w:pPr>
      <w:r>
        <w:rPr>
          <w:rFonts w:ascii="Times New Roman;serif" w:hAnsi="Times New Roman;serif"/>
          <w:b w:val="false"/>
          <w:color w:val="000000"/>
          <w:sz w:val="24"/>
        </w:rPr>
        <w:t>(f) </w:t>
      </w:r>
      <w:r>
        <w:rPr>
          <w:color w:val="000000"/>
        </w:rPr>
        <w:t>    </w:t>
      </w:r>
      <w:r>
        <w:rPr>
          <w:rFonts w:ascii="Times New Roman;serif" w:hAnsi="Times New Roman;serif"/>
          <w:b w:val="false"/>
          <w:color w:val="000000"/>
          <w:sz w:val="24"/>
          <w:u w:val="single"/>
        </w:rPr>
        <w:t>Earnings Statement</w:t>
      </w:r>
      <w:r>
        <w:rPr>
          <w:rFonts w:ascii="Times New Roman;serif" w:hAnsi="Times New Roman;serif"/>
          <w:b w:val="false"/>
          <w:color w:val="000000"/>
          <w:sz w:val="24"/>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(g) </w:t>
      </w:r>
      <w:r>
        <w:rPr>
          <w:color w:val="000000"/>
        </w:rPr>
        <w:t>    </w:t>
      </w:r>
      <w:r>
        <w:rPr>
          <w:rFonts w:ascii="Times New Roman;serif" w:hAnsi="Times New Roman;serif"/>
          <w:b w:val="false"/>
          <w:color w:val="000000"/>
          <w:sz w:val="24"/>
          <w:u w:val="single"/>
        </w:rPr>
        <w:t>Expenses</w:t>
      </w:r>
      <w:r>
        <w:rPr>
          <w:rFonts w:ascii="Times New Roman;serif" w:hAnsi="Times New Roman;serif"/>
          <w:b w:val="false"/>
          <w:color w:val="000000"/>
          <w:sz w:val="24"/>
        </w:rPr>
        <w:t xml:space="preserve">. The Company, whether or not the transactions contemplated hereunder are consummated or this Agreement is terminated, in accordance with the provisions of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 xml:space="preserve">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serif" w:hAnsi="Times New Roman;serif"/>
          <w:b w:val="false"/>
          <w:color w:val="000000"/>
          <w:sz w:val="24"/>
          <w:u w:val="single"/>
        </w:rPr>
        <w:t>Section 7(d)</w:t>
      </w:r>
      <w:r>
        <w:rPr>
          <w:color w:val="000000"/>
        </w:rPr>
        <w:t xml:space="preserve"> </w:t>
      </w:r>
      <w:r>
        <w:rPr>
          <w:rFonts w:ascii="Times New Roman;serif" w:hAnsi="Times New Roman;serif"/>
          <w:b w:val="false"/>
          <w:color w:val="000000"/>
          <w:sz w:val="24"/>
        </w:rPr>
        <w:t>of this Agreement, including filing fees (provided, however, that any fees or disbursements of counsel for TD Cowen in connection therewith shall be paid by TD Cowen except as set forth in (vii) below), (iv) the printing and delivery to TD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TD Cowen’s outside counsel for filings with the FINRA Corporate Financing Department, such legal expense reimbursement not to exceed $20,000 and (viii) the reasonable fees and disbursements of TD Cowen’s counsel in an amount not to exceed (A) $100,000 in connection with the execution of this Agreement and (B) $25,000 in connection with each Bring-Down Date with respect to which the Company is obligated to deliver a certificate pursuant to Section 7(m), for which no waiver is applicable.</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The Company will use the Net Proceeds as described in the Prospectus in the section entitled “Use of Proceeds.”</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2"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Notice of Other Sales</w:t>
      </w:r>
      <w:r>
        <w:rPr>
          <w:rFonts w:ascii="Times New Roman;serif" w:hAnsi="Times New Roman;serif"/>
          <w:b w:val="false"/>
          <w:color w:val="000000"/>
          <w:sz w:val="24"/>
        </w:rPr>
        <w:t xml:space="preserve">. During the pendency of any Placement Notice given hereunder, and for three (3) trading days following the termination of any Placement Notice given hereunder, the Company shall provide TD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such notice shall not be required in connection with the (i) issuance, grant or sale of Common Stock, options to purchase shares of Common Stock, restricted stock units, stock awards or other equity awards or Common Stock issuable upon the exercise or vesting of options or other equity awards pursuant to any stock option, stock bonus or other equity incentive plan or arrangement described in the Prospectus,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TD Cowen in advance, (iv) the issuance of any shares of Common Stock, or securities convertible into or exercisable for Common Stock, offered and sold in a privately negotiated transaction to vendors, customers or strategic partners, and otherwise conducted in a manner so as not to be integrated with the offering of the Placement Shares, or (v) the issuance of any shares of Common Stock issuable upon the exchange, conversion or redemption of securities or the exercise of warrants, options or other rights in effect or outstanding. </w:t>
      </w:r>
    </w:p>
    <w:p>
      <w:pPr>
        <w:pStyle w:val="TextBody"/>
        <w:bidi w:val="0"/>
        <w:spacing w:lineRule="auto" w:line="240" w:before="0" w:after="240"/>
        <w:ind w:left="0" w:right="0" w:firstLine="720"/>
        <w:jc w:val="both"/>
        <w:rPr/>
      </w:pPr>
      <w:r>
        <w:rPr>
          <w:rFonts w:ascii="Times New Roman;serif" w:hAnsi="Times New Roman;serif"/>
          <w:b w:val="false"/>
          <w:color w:val="000000"/>
          <w:sz w:val="24"/>
        </w:rPr>
        <w:t>(j) </w:t>
      </w:r>
      <w:r>
        <w:rPr>
          <w:color w:val="000000"/>
        </w:rPr>
        <w:t>    </w:t>
      </w:r>
      <w:r>
        <w:rPr>
          <w:rFonts w:ascii="Times New Roman;serif" w:hAnsi="Times New Roman;serif"/>
          <w:b w:val="false"/>
          <w:color w:val="000000"/>
          <w:sz w:val="24"/>
          <w:u w:val="single"/>
        </w:rPr>
        <w:t>Change of Circumstances</w:t>
      </w:r>
      <w:r>
        <w:rPr>
          <w:rFonts w:ascii="Times New Roman;serif" w:hAnsi="Times New Roman;serif"/>
          <w:b w:val="false"/>
          <w:color w:val="000000"/>
          <w:sz w:val="24"/>
        </w:rPr>
        <w:t>. The Company will, at any time during a fiscal quarter in which the Company intends to tender a Placement Notice or sell Placement Shares, advise TD Cowen promptly after it shall have received notice or obtained knowledge thereof, of any information or fact that would alter or affect in any material respect any opinion, certificate, letter or other document provided to TD Cowen pursuant to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(k) </w:t>
      </w:r>
      <w:r>
        <w:rPr>
          <w:color w:val="000000"/>
        </w:rPr>
        <w:t>    </w:t>
      </w:r>
      <w:r>
        <w:rPr>
          <w:rFonts w:ascii="Times New Roman;serif" w:hAnsi="Times New Roman;serif"/>
          <w:b w:val="false"/>
          <w:color w:val="000000"/>
          <w:sz w:val="24"/>
          <w:u w:val="single"/>
        </w:rPr>
        <w:t>Due Diligence Cooperation</w:t>
      </w:r>
      <w:r>
        <w:rPr>
          <w:rFonts w:ascii="Times New Roman;serif" w:hAnsi="Times New Roman;serif"/>
          <w:b w:val="false"/>
          <w:color w:val="000000"/>
          <w:sz w:val="24"/>
        </w:rPr>
        <w:t>. During the term of this Agreement, the Company will cooperate with any reasonable due diligence review conducted by TD Cowen or its agents in connection with the transactions contemplated hereby, including, without limitation, providing information and making available documents and senior corporate officers, during regular business hours and at the Company’s principal offices or virtually, as TD Cowen may reasonably request.</w:t>
      </w:r>
    </w:p>
    <w:p>
      <w:pPr>
        <w:pStyle w:val="TextBody"/>
        <w:bidi w:val="0"/>
        <w:spacing w:lineRule="auto" w:line="240" w:before="0" w:after="240"/>
        <w:ind w:left="0" w:right="0" w:firstLine="720"/>
        <w:jc w:val="both"/>
        <w:rPr/>
      </w:pPr>
      <w:r>
        <w:rPr>
          <w:rFonts w:ascii="Times New Roman;serif" w:hAnsi="Times New Roman;serif"/>
          <w:b w:val="false"/>
          <w:color w:val="000000"/>
          <w:sz w:val="24"/>
        </w:rPr>
        <w:t>(l) </w:t>
      </w:r>
      <w:r>
        <w:rPr>
          <w:color w:val="000000"/>
        </w:rPr>
        <w:t>    </w:t>
      </w:r>
      <w:r>
        <w:rPr>
          <w:rFonts w:ascii="Times New Roman;serif" w:hAnsi="Times New Roman;serif"/>
          <w:b w:val="false"/>
          <w:color w:val="000000"/>
          <w:sz w:val="24"/>
          <w:u w:val="single"/>
        </w:rPr>
        <w:t>Required Filings Relating to Placement of Placement Shares</w:t>
      </w:r>
      <w:r>
        <w:rPr>
          <w:rFonts w:ascii="Times New Roman;serif" w:hAnsi="Times New Roman;serif"/>
          <w:b w:val="false"/>
          <w:color w:val="000000"/>
          <w:sz w:val="24"/>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serif" w:hAnsi="Times New Roman;serif"/>
          <w:b/>
          <w:color w:val="000000"/>
          <w:sz w:val="24"/>
          <w:u w:val="single"/>
        </w:rPr>
        <w:t>Filing Date</w:t>
      </w:r>
      <w:r>
        <w:rPr>
          <w:color w:val="000000"/>
        </w:rPr>
        <w:t>”</w:t>
      </w:r>
      <w:r>
        <w:rPr>
          <w:rFonts w:ascii="Times New Roman;serif" w:hAnsi="Times New Roman;serif"/>
          <w:b w:val="false"/>
          <w:color w:val="000000"/>
          <w:sz w:val="24"/>
        </w:rPr>
        <w: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TD Cowen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w:t>
      </w:r>
    </w:p>
    <w:p>
      <w:pPr>
        <w:pStyle w:val="TextBody"/>
        <w:bidi w:val="0"/>
        <w:spacing w:lineRule="auto" w:line="240" w:before="0" w:after="240"/>
        <w:ind w:left="0" w:right="0" w:firstLine="720"/>
        <w:jc w:val="both"/>
        <w:rPr/>
      </w:pPr>
      <w:r>
        <w:rPr>
          <w:rFonts w:ascii="Times New Roman;serif" w:hAnsi="Times New Roman;serif"/>
          <w:b w:val="false"/>
          <w:color w:val="000000"/>
          <w:sz w:val="24"/>
        </w:rPr>
        <w:t>(m) </w:t>
      </w:r>
      <w:r>
        <w:rPr>
          <w:color w:val="000000"/>
        </w:rPr>
        <w:t>    </w:t>
      </w:r>
      <w:r>
        <w:rPr>
          <w:rFonts w:ascii="Times New Roman;serif" w:hAnsi="Times New Roman;serif"/>
          <w:b w:val="false"/>
          <w:color w:val="000000"/>
          <w:sz w:val="24"/>
          <w:u w:val="single"/>
        </w:rPr>
        <w:t>Bring-Down Dates; Certificate</w:t>
      </w:r>
      <w:r>
        <w:rPr>
          <w:rFonts w:ascii="Times New Roman;serif" w:hAnsi="Times New Roman;serif"/>
          <w:b w:val="false"/>
          <w:color w:val="000000"/>
          <w:sz w:val="24"/>
        </w:rPr>
        <w:t xml:space="preserve">. On or prior to the First Delivery Date and, following the First Delivery Date, each time during the term of this Agreement (i) the Company files the Prospectus relating to the Placement Shares or amends or supplements the Registration Statement or the Prospectus relating to the Placement Shares (other than a prospectus supplement filed in accordance with </w:t>
      </w:r>
      <w:r>
        <w:rPr>
          <w:rFonts w:ascii="Times New Roman;serif" w:hAnsi="Times New Roman;serif"/>
          <w:b w:val="false"/>
          <w:color w:val="000000"/>
          <w:sz w:val="24"/>
          <w:u w:val="single"/>
        </w:rPr>
        <w:t>Section 7(l)</w:t>
      </w:r>
      <w:r>
        <w:rPr>
          <w:color w:val="000000"/>
        </w:rPr>
        <w:t xml:space="preserve"> </w:t>
      </w:r>
      <w:r>
        <w:rPr>
          <w:rFonts w:ascii="Times New Roman;serif" w:hAnsi="Times New Roman;serif"/>
          <w:b w:val="false"/>
          <w:color w:val="000000"/>
          <w:sz w:val="24"/>
        </w:rPr>
        <w:t xml:space="preserve">of this Agreement) by means of a post-effective amendment, sticker, or supplement but not by means of incorporation of document(s) by reference to the Registration Statement or the Prospectus relating to the Placement Shares; (ii) </w:t>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3"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the Company files an annual report on Form 10-K under the Exchange Act; (iii) the Company files its quarterly reports on Form 10-Q under the Exchange Act; or (iv) the Company files a report on Form 8-K containing amended financial information (other than information “furnished” pursuant to Item 2.02 or 7.01 of Form 8-K) under the Exchange Act (each date of filing of one or more of the documents referred to in clauses (i) through (iv) shall be a “</w:t>
      </w:r>
      <w:r>
        <w:rPr>
          <w:rFonts w:ascii="Times New Roman;serif" w:hAnsi="Times New Roman;serif"/>
          <w:b/>
          <w:color w:val="000000"/>
          <w:sz w:val="24"/>
          <w:u w:val="single"/>
        </w:rPr>
        <w:t>Bring-Down Date</w:t>
      </w:r>
      <w:r>
        <w:rPr>
          <w:color w:val="000000"/>
        </w:rPr>
        <w:t>”</w:t>
      </w:r>
      <w:r>
        <w:rPr>
          <w:rFonts w:ascii="Times New Roman;serif" w:hAnsi="Times New Roman;serif"/>
          <w:b w:val="false"/>
          <w:color w:val="000000"/>
          <w:sz w:val="24"/>
        </w:rPr>
        <w:t xml:space="preserve">); the Company shall furnish TD Cowen with a certificate, in the form attached hereto as </w:t>
      </w:r>
      <w:r>
        <w:rPr>
          <w:rFonts w:ascii="Times New Roman;serif" w:hAnsi="Times New Roman;serif"/>
          <w:b w:val="false"/>
          <w:color w:val="000000"/>
          <w:sz w:val="24"/>
          <w:u w:val="single"/>
        </w:rPr>
        <w:t>Exhibit 7(m)</w:t>
      </w:r>
      <w:r>
        <w:rPr>
          <w:color w:val="000000"/>
        </w:rPr>
        <w:t xml:space="preserve"> </w:t>
      </w:r>
      <w:r>
        <w:rPr>
          <w:rFonts w:ascii="Times New Roman;serif" w:hAnsi="Times New Roman;serif"/>
          <w:b w:val="false"/>
          <w:color w:val="000000"/>
          <w:sz w:val="24"/>
        </w:rPr>
        <w:t xml:space="preserve">within one (1) Trading Day of any Bring-Down Date if requested by TD Cowen. The requirement to provide a certificate under this </w:t>
      </w:r>
      <w:r>
        <w:rPr>
          <w:rFonts w:ascii="Times New Roman;serif" w:hAnsi="Times New Roman;serif"/>
          <w:b w:val="false"/>
          <w:color w:val="000000"/>
          <w:sz w:val="24"/>
          <w:u w:val="single"/>
        </w:rPr>
        <w:t>Section 7(m)</w:t>
      </w:r>
      <w:r>
        <w:rPr>
          <w:color w:val="000000"/>
        </w:rPr>
        <w:t xml:space="preserve"> </w:t>
      </w:r>
      <w:r>
        <w:rPr>
          <w:rFonts w:ascii="Times New Roman;serif" w:hAnsi="Times New Roman;serif"/>
          <w:b w:val="false"/>
          <w:color w:val="000000"/>
          <w:sz w:val="24"/>
        </w:rPr>
        <w:t xml:space="preserve">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such waiver shall not apply for any Bring-Down Date on which the Company files its annual report on Form 10-K. Notwithstanding the foregoing, if the Company subsequently decides to sell Placement Shares following a Bring-Down Date when the Company relied on such waiver and did not provide TD Cowen with a certificate under this </w:t>
      </w:r>
      <w:r>
        <w:rPr>
          <w:rFonts w:ascii="Times New Roman;serif" w:hAnsi="Times New Roman;serif"/>
          <w:b w:val="false"/>
          <w:color w:val="000000"/>
          <w:sz w:val="24"/>
          <w:u w:val="single"/>
        </w:rPr>
        <w:t>Section 7(m)</w:t>
      </w:r>
      <w:r>
        <w:rPr>
          <w:rFonts w:ascii="Times New Roman;serif" w:hAnsi="Times New Roman;serif"/>
          <w:b w:val="false"/>
          <w:color w:val="000000"/>
          <w:sz w:val="24"/>
        </w:rPr>
        <w:t xml:space="preserve">, then before the Company delivers the Placement Notice or TD Cowen sells any Placement Shares, the Company shall provide TD Cowen with a certificate, in the form attached hereto as </w:t>
      </w:r>
      <w:r>
        <w:rPr>
          <w:rFonts w:ascii="Times New Roman;serif" w:hAnsi="Times New Roman;serif"/>
          <w:b w:val="false"/>
          <w:color w:val="000000"/>
          <w:sz w:val="24"/>
          <w:u w:val="single"/>
        </w:rPr>
        <w:t>Exhibit 7(m)</w:t>
      </w:r>
      <w:r>
        <w:rPr>
          <w:rFonts w:ascii="Times New Roman;serif" w:hAnsi="Times New Roman;serif"/>
          <w:b w:val="false"/>
          <w:color w:val="000000"/>
          <w:sz w:val="24"/>
        </w:rPr>
        <w:t>, dated the date of the Placement Notice.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(n) </w:t>
      </w:r>
      <w:r>
        <w:rPr>
          <w:color w:val="000000"/>
        </w:rPr>
        <w:t>    </w:t>
      </w:r>
      <w:r>
        <w:rPr>
          <w:rFonts w:ascii="Times New Roman;serif" w:hAnsi="Times New Roman;serif"/>
          <w:b w:val="false"/>
          <w:color w:val="000000"/>
          <w:sz w:val="24"/>
          <w:u w:val="single"/>
        </w:rPr>
        <w:t>Legal Opinion</w:t>
      </w:r>
      <w:r>
        <w:rPr>
          <w:rFonts w:ascii="Times New Roman;serif" w:hAnsi="Times New Roman;serif"/>
          <w:b w:val="false"/>
          <w:color w:val="000000"/>
          <w:sz w:val="24"/>
        </w:rPr>
        <w:t xml:space="preserve">. On or prior to the First Delivery Date and within one (1) Trading Day of each Bring-Down Date with respect to which the Company is obligated to deliver a certificate in the form attached hereto as </w:t>
      </w:r>
      <w:r>
        <w:rPr>
          <w:rFonts w:ascii="Times New Roman;serif" w:hAnsi="Times New Roman;serif"/>
          <w:b w:val="false"/>
          <w:color w:val="000000"/>
          <w:sz w:val="24"/>
          <w:u w:val="single"/>
        </w:rPr>
        <w:t>Exhibit 7(m)</w:t>
      </w:r>
      <w:r>
        <w:rPr>
          <w:color w:val="000000"/>
        </w:rPr>
        <w:t xml:space="preserve"> </w:t>
      </w:r>
      <w:r>
        <w:rPr>
          <w:rFonts w:ascii="Times New Roman;serif" w:hAnsi="Times New Roman;serif"/>
          <w:b w:val="false"/>
          <w:color w:val="000000"/>
          <w:sz w:val="24"/>
        </w:rPr>
        <w:t>for which no waiver is applicable, the Company shall cause to be furnished to TD Cowen a written opinion and negative assurance letter of Wilson Sonsini Goodrich &amp; Rosati, P.C. (“</w:t>
      </w:r>
      <w:r>
        <w:rPr>
          <w:rFonts w:ascii="Times New Roman;serif" w:hAnsi="Times New Roman;serif"/>
          <w:b w:val="false"/>
          <w:color w:val="000000"/>
          <w:sz w:val="24"/>
          <w:u w:val="single"/>
        </w:rPr>
        <w:t>Company Counsel</w:t>
      </w:r>
      <w:r>
        <w:rPr>
          <w:color w:val="000000"/>
        </w:rPr>
        <w:t>”</w:t>
      </w:r>
      <w:r>
        <w:rPr>
          <w:rFonts w:ascii="Times New Roman;serif" w:hAnsi="Times New Roman;serif"/>
          <w:b w:val="false"/>
          <w:color w:val="000000"/>
          <w:sz w:val="24"/>
        </w:rPr>
        <w:t xml:space="preserve">), or other counsel satisfactory to TD Cowen, in form and substance satisfactory to TD Cowen and its counsel, dated the date that such opinion is required to be delivered, modified, as necessary, to relate to the Registration Statement and the Prospectus as then amended or supplemented;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in lieu of such opinion for subsequent Bring-Down Dates, counsel may furnish TD Cowen with a letter (a “</w:t>
      </w:r>
      <w:r>
        <w:rPr>
          <w:rFonts w:ascii="Times New Roman;serif" w:hAnsi="Times New Roman;serif"/>
          <w:b/>
          <w:color w:val="000000"/>
          <w:sz w:val="24"/>
          <w:u w:val="single"/>
        </w:rPr>
        <w:t>Reliance Letter</w:t>
      </w:r>
      <w:r>
        <w:rPr>
          <w:color w:val="000000"/>
        </w:rPr>
        <w:t>”</w:t>
      </w:r>
      <w:r>
        <w:rPr>
          <w:rFonts w:ascii="Times New Roman;serif" w:hAnsi="Times New Roman;serif"/>
          <w:b w:val="false"/>
          <w:color w:val="000000"/>
          <w:sz w:val="24"/>
        </w:rPr>
        <w:t xml:space="preserve">) to the effect that TD Cowen may rely on a prior opinion delivered under this </w:t>
      </w:r>
      <w:r>
        <w:rPr>
          <w:rFonts w:ascii="Times New Roman;serif" w:hAnsi="Times New Roman;serif"/>
          <w:b w:val="false"/>
          <w:color w:val="000000"/>
          <w:sz w:val="24"/>
          <w:u w:val="single"/>
        </w:rPr>
        <w:t>Section 7(n)</w:t>
      </w:r>
      <w:r>
        <w:rPr>
          <w:color w:val="000000"/>
        </w:rPr>
        <w:t xml:space="preserve"> </w:t>
      </w:r>
      <w:r>
        <w:rPr>
          <w:rFonts w:ascii="Times New Roman;serif" w:hAnsi="Times New Roman;serif"/>
          <w:b w:val="false"/>
          <w:color w:val="000000"/>
          <w:sz w:val="24"/>
        </w:rPr>
        <w:t xml:space="preserve">to the same extent as if it were dated the date of such letter (except that statements in such prior opinion shall be deemed to relate to the Registration Statement and the Prospectus as amended or supplemented at such Bring-Down Date).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(o) </w:t>
      </w:r>
      <w:r>
        <w:rPr>
          <w:color w:val="000000"/>
        </w:rPr>
        <w:t>    </w:t>
      </w:r>
      <w:r>
        <w:rPr>
          <w:rFonts w:ascii="Times New Roman;serif" w:hAnsi="Times New Roman;serif"/>
          <w:b w:val="false"/>
          <w:color w:val="000000"/>
          <w:sz w:val="24"/>
          <w:u w:val="single"/>
        </w:rPr>
        <w:t>Intellectual Property Opinion</w:t>
      </w:r>
      <w:r>
        <w:rPr>
          <w:rFonts w:ascii="Times New Roman;serif" w:hAnsi="Times New Roman;serif"/>
          <w:b w:val="false"/>
          <w:color w:val="000000"/>
          <w:sz w:val="24"/>
        </w:rPr>
        <w:t xml:space="preserve">. On or prior to the First Delivery Date and within one (1) Trading Day of each Bring-Down Date with respect to which the Company is obligated to deliver a certificate in the form attached hereto as </w:t>
      </w:r>
      <w:r>
        <w:rPr>
          <w:rFonts w:ascii="Times New Roman;serif" w:hAnsi="Times New Roman;serif"/>
          <w:b w:val="false"/>
          <w:color w:val="000000"/>
          <w:sz w:val="24"/>
          <w:u w:val="single"/>
        </w:rPr>
        <w:t>Exhibit 7(m)</w:t>
      </w:r>
      <w:r>
        <w:rPr>
          <w:color w:val="000000"/>
        </w:rPr>
        <w:t xml:space="preserve"> </w:t>
      </w:r>
      <w:r>
        <w:rPr>
          <w:rFonts w:ascii="Times New Roman;serif" w:hAnsi="Times New Roman;serif"/>
          <w:b w:val="false"/>
          <w:color w:val="000000"/>
          <w:sz w:val="24"/>
        </w:rPr>
        <w:t>for which no waiver is applicable, the Company shall cause to be furnished to TD Cowen a written opinion and negative assurance letter of the intellectual property counsel of the Company, or other counsel satisfactory to TD Cowen, including any other counsel subsequently hired by the Company with respect to the Company’s intellectual property matters (“</w:t>
      </w:r>
      <w:r>
        <w:rPr>
          <w:rFonts w:ascii="Times New Roman;serif" w:hAnsi="Times New Roman;serif"/>
          <w:b/>
          <w:color w:val="000000"/>
          <w:sz w:val="24"/>
          <w:u w:val="single"/>
        </w:rPr>
        <w:t>Company IP Counsel</w:t>
      </w:r>
      <w:r>
        <w:rPr>
          <w:color w:val="000000"/>
        </w:rPr>
        <w:t>”</w:t>
      </w:r>
      <w:r>
        <w:rPr>
          <w:rFonts w:ascii="Times New Roman;serif" w:hAnsi="Times New Roman;serif"/>
          <w:b w:val="false"/>
          <w:color w:val="000000"/>
          <w:sz w:val="24"/>
        </w:rPr>
        <w:t xml:space="preserve">), in form and substance satisfactory to TD Cowen and its counsel, dated the date that such opinion is required to be delivered, with respect to intellectual property matters, modified, as necessary, to relate to the Registration Statement and the Prospectus as then amended or supplemented;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 lieu of such opinion for subsequent Bring-Down Dates, counsel may furnish TD Cowen with a Reliance Letter to the effect that TD Cowen may rely on a prior opinion delivered under this </w:t>
      </w:r>
      <w:r>
        <w:rPr>
          <w:rFonts w:ascii="Times New Roman;serif" w:hAnsi="Times New Roman;serif"/>
          <w:b w:val="false"/>
          <w:color w:val="000000"/>
          <w:sz w:val="24"/>
          <w:u w:val="single"/>
        </w:rPr>
        <w:t>Section 7(o)</w:t>
      </w:r>
      <w:r>
        <w:rPr>
          <w:color w:val="000000"/>
        </w:rPr>
        <w:t xml:space="preserve"> </w:t>
      </w:r>
      <w:r>
        <w:rPr>
          <w:rFonts w:ascii="Times New Roman;serif" w:hAnsi="Times New Roman;serif"/>
          <w:b w:val="false"/>
          <w:color w:val="000000"/>
          <w:sz w:val="24"/>
        </w:rPr>
        <w:t>to the same extent as if it were dated the date of such letter (except that statements in such prior opinion shall be deemed to relate to the Registration Statement and the Prospectus as amended or supplemented at such Bring-Down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(p) </w:t>
      </w:r>
      <w:r>
        <w:rPr>
          <w:color w:val="000000"/>
        </w:rPr>
        <w:t>    </w:t>
      </w:r>
      <w:r>
        <w:rPr>
          <w:rFonts w:ascii="Times New Roman;serif" w:hAnsi="Times New Roman;serif"/>
          <w:b w:val="false"/>
          <w:color w:val="000000"/>
          <w:sz w:val="24"/>
          <w:u w:val="single"/>
        </w:rPr>
        <w:t>Comfort Letter</w:t>
      </w:r>
      <w:r>
        <w:rPr>
          <w:rFonts w:ascii="Times New Roman;serif" w:hAnsi="Times New Roman;serif"/>
          <w:b w:val="false"/>
          <w:color w:val="000000"/>
          <w:sz w:val="24"/>
        </w:rPr>
        <w:t xml:space="preserve">. On or prior to the First Delivery Date and within one (1) Trading Day of each Bring-Down Date with respect to which the Company is obligated to deliver a certificate in the form attached hereto as </w:t>
      </w:r>
      <w:r>
        <w:rPr>
          <w:rFonts w:ascii="Times New Roman;serif" w:hAnsi="Times New Roman;serif"/>
          <w:b w:val="false"/>
          <w:color w:val="000000"/>
          <w:sz w:val="24"/>
          <w:u w:val="single"/>
        </w:rPr>
        <w:t>Exhibit 7(m)</w:t>
      </w:r>
      <w:r>
        <w:rPr>
          <w:color w:val="000000"/>
        </w:rPr>
        <w:t xml:space="preserve"> </w:t>
      </w:r>
      <w:r>
        <w:rPr>
          <w:rFonts w:ascii="Times New Roman;serif" w:hAnsi="Times New Roman;serif"/>
          <w:b w:val="false"/>
          <w:color w:val="000000"/>
          <w:sz w:val="24"/>
        </w:rPr>
        <w:t xml:space="preserve">for which no waiver is applicable, the Company shall cause its independent accountants to furnish TD Cowen letters </w:t>
      </w: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4"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(the “</w:t>
      </w:r>
      <w:r>
        <w:rPr>
          <w:rFonts w:ascii="Times New Roman;serif" w:hAnsi="Times New Roman;serif"/>
          <w:b/>
          <w:color w:val="000000"/>
          <w:sz w:val="24"/>
          <w:u w:val="single"/>
        </w:rPr>
        <w:t>Comfort Letters</w:t>
      </w:r>
      <w:r>
        <w:rPr>
          <w:color w:val="000000"/>
        </w:rPr>
        <w:t>”</w:t>
      </w:r>
      <w:r>
        <w:rPr>
          <w:rFonts w:ascii="Times New Roman;serif" w:hAnsi="Times New Roman;serif"/>
          <w:b w:val="false"/>
          <w:color w:val="000000"/>
          <w:sz w:val="24"/>
        </w:rPr>
        <w:t>), dated the date the Comfort Letter is delivered, in form and substance satisfactory to TD Cowen, (i) confirming that they are an independent registered public accounting firm within the meaning of the Securities Act and the Public Company Accounting Oversight Board, (ii) stating, as of such date, the conclusions and findings of such firm with respect to the financial information and other matters ordinarily covered by accountants’ “comfort letters” to TD Cowen in connection with registered public offerings (the first such letter, the “</w:t>
      </w:r>
      <w:r>
        <w:rPr>
          <w:rFonts w:ascii="Times New Roman;serif" w:hAnsi="Times New Roman;serif"/>
          <w:b/>
          <w:color w:val="000000"/>
          <w:sz w:val="24"/>
          <w:u w:val="single"/>
        </w:rPr>
        <w:t>Initial Comfort Letter</w:t>
      </w:r>
      <w:r>
        <w:rPr>
          <w:color w:val="000000"/>
        </w:rPr>
        <w:t>”</w:t>
      </w:r>
      <w:r>
        <w:rPr>
          <w:rFonts w:ascii="Times New Roman;serif" w:hAnsi="Times New Roman;serif"/>
          <w:b w:val="false"/>
          <w:color w:val="000000"/>
          <w:sz w:val="24"/>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(q) </w:t>
      </w:r>
      <w:r>
        <w:rPr>
          <w:color w:val="000000"/>
        </w:rPr>
        <w:t>    </w:t>
      </w:r>
      <w:r>
        <w:rPr>
          <w:rFonts w:ascii="Times New Roman;serif" w:hAnsi="Times New Roman;serif"/>
          <w:b w:val="false"/>
          <w:color w:val="000000"/>
          <w:sz w:val="24"/>
          <w:u w:val="single"/>
        </w:rPr>
        <w:t>Chief Financial Officer’s Certificate</w:t>
      </w:r>
      <w:r>
        <w:rPr>
          <w:rFonts w:ascii="Times New Roman;serif" w:hAnsi="Times New Roman;serif"/>
          <w:b w:val="false"/>
          <w:color w:val="000000"/>
          <w:sz w:val="24"/>
        </w:rPr>
        <w:t>. If requested by TD Cowen or its counsel, on or prior to the First Delivery Date and within one (1) Trading Day of each Bring-Down Date with respect to which the Company is obligated to deliver a certificate for which no waiver is applicable, the Company shall have delivered to TD Cowen a certificate executed by the Chief Financial Officer of the Company (“</w:t>
      </w:r>
      <w:r>
        <w:rPr>
          <w:rFonts w:ascii="Times New Roman;serif" w:hAnsi="Times New Roman;serif"/>
          <w:b/>
          <w:color w:val="000000"/>
          <w:sz w:val="24"/>
          <w:u w:val="single"/>
        </w:rPr>
        <w:t>CFO Certificate</w:t>
      </w:r>
      <w:r>
        <w:rPr>
          <w:color w:val="000000"/>
        </w:rPr>
        <w:t>”</w:t>
      </w:r>
      <w:r>
        <w:rPr>
          <w:rFonts w:ascii="Times New Roman;serif" w:hAnsi="Times New Roman;serif"/>
          <w:b w:val="false"/>
          <w:color w:val="000000"/>
          <w:sz w:val="24"/>
        </w:rPr>
        <w:t>), dated as of such date, in form and substance satisfactory to TD Cowen and its counsel.</w:t>
      </w:r>
    </w:p>
    <w:p>
      <w:pPr>
        <w:pStyle w:val="TextBody"/>
        <w:bidi w:val="0"/>
        <w:spacing w:lineRule="auto" w:line="240" w:before="0" w:after="240"/>
        <w:ind w:left="0" w:right="0" w:firstLine="720"/>
        <w:jc w:val="both"/>
        <w:rPr/>
      </w:pPr>
      <w:r>
        <w:rPr>
          <w:rFonts w:ascii="Times New Roman;serif" w:hAnsi="Times New Roman;serif"/>
          <w:b w:val="false"/>
          <w:color w:val="000000"/>
          <w:sz w:val="24"/>
        </w:rPr>
        <w:t>(r) </w:t>
      </w:r>
      <w:r>
        <w:rPr>
          <w:color w:val="000000"/>
        </w:rPr>
        <w:t>    </w:t>
      </w:r>
      <w:r>
        <w:rPr>
          <w:rFonts w:ascii="Times New Roman;serif" w:hAnsi="Times New Roman;serif"/>
          <w:b w:val="false"/>
          <w:color w:val="000000"/>
          <w:sz w:val="24"/>
          <w:u w:val="single"/>
        </w:rPr>
        <w:t>Market Activities</w:t>
      </w:r>
      <w:r>
        <w:rPr>
          <w:rFonts w:ascii="Times New Roman;serif" w:hAnsi="Times New Roman;serif"/>
          <w:b w:val="false"/>
          <w:color w:val="000000"/>
          <w:sz w:val="24"/>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TD Cowen; provided, however, that the Company may bid for and purchase shares of its common stock in accordance with Rule 10b-18 under the Exchange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(s) </w:t>
      </w:r>
      <w:r>
        <w:rPr>
          <w:color w:val="000000"/>
        </w:rPr>
        <w:t>    </w:t>
      </w:r>
      <w:r>
        <w:rPr>
          <w:rFonts w:ascii="Times New Roman;serif" w:hAnsi="Times New Roman;serif"/>
          <w:b w:val="false"/>
          <w:color w:val="000000"/>
          <w:sz w:val="24"/>
          <w:u w:val="single"/>
        </w:rPr>
        <w:t>Insurance</w:t>
      </w:r>
      <w:r>
        <w:rPr>
          <w:rFonts w:ascii="Times New Roman;serif" w:hAnsi="Times New Roman;serif"/>
          <w:b w:val="false"/>
          <w:color w:val="000000"/>
          <w:sz w:val="24"/>
        </w:rPr>
        <w:t>. The Company and its subsidiaries shall maintain, or cause to be maintained, insurance in such amounts and covering such risks as is reasonable and customary for the business for which it is engaged.</w:t>
      </w:r>
    </w:p>
    <w:p>
      <w:pPr>
        <w:pStyle w:val="TextBody"/>
        <w:bidi w:val="0"/>
        <w:spacing w:lineRule="auto" w:line="240" w:before="0" w:after="240"/>
        <w:ind w:left="0" w:right="0" w:firstLine="720"/>
        <w:jc w:val="both"/>
        <w:rPr/>
      </w:pPr>
      <w:r>
        <w:rPr>
          <w:rFonts w:ascii="Times New Roman;serif" w:hAnsi="Times New Roman;serif"/>
          <w:b w:val="false"/>
          <w:color w:val="000000"/>
          <w:sz w:val="24"/>
        </w:rPr>
        <w:t>(t) </w:t>
      </w:r>
      <w:r>
        <w:rPr>
          <w:color w:val="000000"/>
        </w:rPr>
        <w:t>    </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pStyle w:val="TextBody"/>
        <w:bidi w:val="0"/>
        <w:spacing w:lineRule="auto" w:line="240" w:before="0" w:after="240"/>
        <w:ind w:left="0" w:right="0" w:firstLine="720"/>
        <w:jc w:val="both"/>
        <w:rPr/>
      </w:pPr>
      <w:r>
        <w:rPr>
          <w:rFonts w:ascii="Times New Roman;serif" w:hAnsi="Times New Roman;serif"/>
          <w:b w:val="false"/>
          <w:color w:val="000000"/>
          <w:sz w:val="24"/>
        </w:rPr>
        <w:t>(u) </w:t>
      </w:r>
      <w:r>
        <w:rPr>
          <w:color w:val="000000"/>
        </w:rPr>
        <w:t>    </w:t>
      </w: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(v) </w:t>
      </w:r>
      <w:r>
        <w:rPr>
          <w:color w:val="000000"/>
        </w:rPr>
        <w:t>    </w:t>
      </w:r>
      <w:r>
        <w:rPr>
          <w:rFonts w:ascii="Times New Roman;serif" w:hAnsi="Times New Roman;serif"/>
          <w:b w:val="false"/>
          <w:color w:val="000000"/>
          <w:sz w:val="24"/>
          <w:u w:val="single"/>
        </w:rPr>
        <w:t>Securities Act and Exchange Act</w:t>
      </w:r>
      <w:r>
        <w:rPr>
          <w:rFonts w:ascii="Times New Roman;serif" w:hAnsi="Times New Roman;serif"/>
          <w:b w:val="false"/>
          <w:color w:val="000000"/>
          <w:sz w:val="24"/>
        </w:rPr>
        <w:t>.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pStyle w:val="TextBody"/>
        <w:bidi w:val="0"/>
        <w:spacing w:lineRule="auto" w:line="240" w:before="0" w:after="240"/>
        <w:ind w:left="0" w:right="0" w:firstLine="720"/>
        <w:jc w:val="both"/>
        <w:rPr/>
      </w:pPr>
      <w:r>
        <w:rPr>
          <w:rFonts w:ascii="Times New Roman;serif" w:hAnsi="Times New Roman;serif"/>
          <w:b w:val="false"/>
          <w:color w:val="000000"/>
          <w:sz w:val="24"/>
        </w:rPr>
        <w:t>(w) </w:t>
      </w:r>
      <w:r>
        <w:rPr>
          <w:color w:val="000000"/>
        </w:rPr>
        <w:t>    </w:t>
      </w:r>
      <w:r>
        <w:rPr>
          <w:rFonts w:ascii="Times New Roman;serif" w:hAnsi="Times New Roman;serif"/>
          <w:b w:val="false"/>
          <w:color w:val="000000"/>
          <w:sz w:val="24"/>
          <w:u w:val="single"/>
        </w:rPr>
        <w:t>No Offer to Sell</w:t>
      </w:r>
      <w:r>
        <w:rPr>
          <w:rFonts w:ascii="Times New Roman;serif" w:hAnsi="Times New Roman;serif"/>
          <w:b w:val="false"/>
          <w:color w:val="000000"/>
          <w:sz w:val="24"/>
        </w:rPr>
        <w:t xml:space="preserve">. Other than the Prospectus and a Permitted Free Writing Prospectus, neither TD Cowen nor the Company (including its agents and representatives, other than TD Cowen in its capacity as such) will make, use, prepare, authorize, approve or refer to </w:t>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25"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any written communication (as defined in Rule 405 under the Securities Act), required to be filed with the Commission, that constitutes an offer to sell or solicitation of an offer to buy Common Stock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(x) </w:t>
      </w:r>
      <w:r>
        <w:rPr>
          <w:color w:val="000000"/>
        </w:rPr>
        <w:t>    </w:t>
      </w:r>
      <w:r>
        <w:rPr>
          <w:rFonts w:ascii="Times New Roman;serif" w:hAnsi="Times New Roman;serif"/>
          <w:b w:val="false"/>
          <w:color w:val="000000"/>
          <w:sz w:val="24"/>
          <w:u w:val="single"/>
        </w:rPr>
        <w:t>Sarbanes-Oxley Act</w:t>
      </w:r>
      <w:r>
        <w:rPr>
          <w:rFonts w:ascii="Times New Roman;serif" w:hAnsi="Times New Roman;serif"/>
          <w:b w:val="false"/>
          <w:color w:val="000000"/>
          <w:sz w:val="24"/>
        </w:rPr>
        <w:t>. The Company and its subsidiaries will use their best efforts to comply with all effective applicable provisions of the Sarbanes-Oxley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(y) </w:t>
      </w:r>
      <w:r>
        <w:rPr>
          <w:color w:val="000000"/>
        </w:rPr>
        <w:t>    </w:t>
      </w:r>
      <w:r>
        <w:rPr>
          <w:rFonts w:ascii="Times New Roman;serif" w:hAnsi="Times New Roman;serif"/>
          <w:b w:val="false"/>
          <w:color w:val="000000"/>
          <w:sz w:val="24"/>
          <w:u w:val="single"/>
        </w:rPr>
        <w:t>Affirmation</w:t>
      </w:r>
      <w:r>
        <w:rPr>
          <w:rFonts w:ascii="Times New Roman;serif" w:hAnsi="Times New Roman;serif"/>
          <w:b w:val="false"/>
          <w:color w:val="000000"/>
          <w:sz w:val="24"/>
        </w:rPr>
        <w:t>. Each Placement Notice delivered by the Company to TD Cowen shall be deemed to be (i) an affirmation that the representations, warranties and agreements of the Company herein contained and contained in any certificate delivered to TD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(z) </w:t>
      </w:r>
      <w:r>
        <w:rPr>
          <w:color w:val="000000"/>
        </w:rPr>
        <w:t>    </w:t>
      </w:r>
      <w:r>
        <w:rPr>
          <w:rFonts w:ascii="Times New Roman;serif" w:hAnsi="Times New Roman;serif"/>
          <w:b w:val="false"/>
          <w:color w:val="000000"/>
          <w:sz w:val="24"/>
          <w:u w:val="single"/>
        </w:rPr>
        <w:t>Renewal</w:t>
      </w:r>
      <w:r>
        <w:rPr>
          <w:rFonts w:ascii="Times New Roman;serif" w:hAnsi="Times New Roman;serif"/>
          <w:b w:val="false"/>
          <w:color w:val="000000"/>
          <w:sz w:val="24"/>
        </w:rPr>
        <w:t>. If immediately prior to the third anniversary (the “</w:t>
      </w:r>
      <w:r>
        <w:rPr>
          <w:rFonts w:ascii="Times New Roman;serif" w:hAnsi="Times New Roman;serif"/>
          <w:b/>
          <w:color w:val="000000"/>
          <w:sz w:val="24"/>
          <w:u w:val="single"/>
        </w:rPr>
        <w:t>Renewal Deadline</w:t>
      </w:r>
      <w:r>
        <w:rPr>
          <w:color w:val="000000"/>
        </w:rPr>
        <w:t>”</w:t>
      </w:r>
      <w:r>
        <w:rPr>
          <w:rFonts w:ascii="Times New Roman;serif" w:hAnsi="Times New Roman;serif"/>
          <w:b w:val="false"/>
          <w:color w:val="000000"/>
          <w:sz w:val="24"/>
        </w:rPr>
        <w:t>) of the initial effective date of the Registration Statement, the aggregate gross sales price of Placement Shares sold by the Company is less than the Maximum Amount and this Agreement has not expired or been terminated, the Company will, prior to the Renewal Deadline, file, if it has not already done so and is eligible to do so, a new shelf registration statement relating to the Placement Shares, in a form satisfactory to TD Cowen, and, if not automatically effective, will use its best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Conditions to TD Cowen’s Obligations</w:t>
      </w:r>
      <w:r>
        <w:rPr>
          <w:rFonts w:ascii="Times New Roman;serif" w:hAnsi="Times New Roman;serif"/>
          <w:b w:val="false"/>
          <w:color w:val="000000"/>
          <w:sz w:val="24"/>
        </w:rPr>
        <w:t>. The obligations of TD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TD Cowen of a due diligence review satisfactory to TD Cowen in its reasonable judgment, and to the continuing satisfaction (or waiver by TD Cowen in its sole discretion) of the following additional conditions: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(a) </w:t>
      </w:r>
      <w:r>
        <w:rPr>
          <w:color w:val="000000"/>
        </w:rPr>
        <w:t>    </w:t>
      </w:r>
      <w:r>
        <w:rPr>
          <w:rFonts w:ascii="Times New Roman;serif" w:hAnsi="Times New Roman;serif"/>
          <w:b w:val="false"/>
          <w:color w:val="000000"/>
          <w:sz w:val="24"/>
          <w:u w:val="single"/>
        </w:rPr>
        <w:t>Registration Statement Effective</w:t>
      </w:r>
      <w:r>
        <w:rPr>
          <w:rFonts w:ascii="Times New Roman;serif" w:hAnsi="Times New Roman;serif"/>
          <w:b w:val="false"/>
          <w:color w:val="000000"/>
          <w:sz w:val="24"/>
        </w:rPr>
        <w:t>. The Registration Statement shall be effective and shall be available for (i) all sales of Placement Shares issued pursuant to all prior Placement Notices and (ii) the sale of all Placement Shares contemplated to be issued pursuant to any Placement Notice.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(b) </w:t>
      </w:r>
      <w:r>
        <w:rPr>
          <w:color w:val="000000"/>
        </w:rPr>
        <w:t>    </w:t>
      </w:r>
      <w:r>
        <w:rPr>
          <w:rFonts w:ascii="Times New Roman;serif" w:hAnsi="Times New Roman;serif"/>
          <w:b w:val="false"/>
          <w:color w:val="000000"/>
          <w:sz w:val="24"/>
          <w:u w:val="single"/>
        </w:rPr>
        <w:t>No Material Notices</w:t>
      </w:r>
      <w:r>
        <w:rPr>
          <w:rFonts w:ascii="Times New Roman;serif" w:hAnsi="Times New Roman;serif"/>
          <w:b w:val="false"/>
          <w:color w:val="000000"/>
          <w:sz w:val="24"/>
        </w:rPr>
        <w:t xml:space="preserve">.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6" name="Frame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lineRule="auto" w:line="240" w:before="0" w:after="240"/>
        <w:ind w:left="0" w:right="0" w:firstLine="720"/>
        <w:jc w:val="both"/>
        <w:rPr/>
      </w:pPr>
      <w:r>
        <w:rPr>
          <w:rFonts w:ascii="Times New Roman;serif" w:hAnsi="Times New Roman;serif"/>
          <w:b w:val="false"/>
          <w:color w:val="000000"/>
          <w:sz w:val="24"/>
        </w:rPr>
        <w:t>(c) </w:t>
      </w:r>
      <w:r>
        <w:rPr>
          <w:color w:val="000000"/>
        </w:rPr>
        <w:t>    </w:t>
      </w:r>
      <w:r>
        <w:rPr>
          <w:rFonts w:ascii="Times New Roman;serif" w:hAnsi="Times New Roman;serif"/>
          <w:b w:val="false"/>
          <w:color w:val="000000"/>
          <w:sz w:val="24"/>
          <w:u w:val="single"/>
        </w:rPr>
        <w:t>No Misstatement or Material Omission</w:t>
      </w:r>
      <w:r>
        <w:rPr>
          <w:rFonts w:ascii="Times New Roman;serif" w:hAnsi="Times New Roman;serif"/>
          <w:b w:val="false"/>
          <w:color w:val="000000"/>
          <w:sz w:val="24"/>
        </w:rPr>
        <w:t>. TD Cowen shall not have advised the Company that the Registration Statement or Prospectus, or any amendment or supplement thereto, contains an untrue statement of fact that in TD Cowen’s reasonable opinion is material, or omits to state a fact that in TD Cowen’s opinion is material and is required to be stated therein or is necessary to make the statements therein not misleading.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 </w:t>
      </w:r>
      <w:r>
        <w:rPr>
          <w:color w:val="000000"/>
        </w:rPr>
        <w:t>    </w:t>
      </w:r>
      <w:r>
        <w:rPr>
          <w:rFonts w:ascii="Times New Roman;serif" w:hAnsi="Times New Roman;serif"/>
          <w:b w:val="false"/>
          <w:color w:val="000000"/>
          <w:sz w:val="24"/>
          <w:u w:val="single"/>
        </w:rPr>
        <w:t>Material Changes</w:t>
      </w:r>
      <w:r>
        <w:rPr>
          <w:rFonts w:ascii="Times New Roman;serif" w:hAnsi="Times New Roman;serif"/>
          <w:b w:val="false"/>
          <w:color w:val="000000"/>
          <w:sz w:val="24"/>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TD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pStyle w:val="TextBody"/>
        <w:bidi w:val="0"/>
        <w:spacing w:lineRule="auto" w:line="240" w:before="0" w:after="240"/>
        <w:ind w:left="0" w:right="0" w:firstLine="720"/>
        <w:jc w:val="both"/>
        <w:rPr/>
      </w:pPr>
      <w:r>
        <w:rPr>
          <w:rFonts w:ascii="Times New Roman;serif" w:hAnsi="Times New Roman;serif"/>
          <w:b w:val="false"/>
          <w:color w:val="000000"/>
          <w:sz w:val="24"/>
        </w:rPr>
        <w:t>(e) </w:t>
      </w:r>
      <w:r>
        <w:rPr>
          <w:color w:val="000000"/>
        </w:rPr>
        <w:t>    </w:t>
      </w:r>
      <w:r>
        <w:rPr>
          <w:rFonts w:ascii="Times New Roman;serif" w:hAnsi="Times New Roman;serif"/>
          <w:b w:val="false"/>
          <w:color w:val="000000"/>
          <w:sz w:val="24"/>
          <w:u w:val="single"/>
        </w:rPr>
        <w:t>Company Counsel Legal Opinion</w:t>
      </w:r>
      <w:r>
        <w:rPr>
          <w:rFonts w:ascii="Times New Roman;serif" w:hAnsi="Times New Roman;serif"/>
          <w:b w:val="false"/>
          <w:color w:val="000000"/>
          <w:sz w:val="24"/>
        </w:rPr>
        <w:t xml:space="preserve">. TD Cowen shall have received the opinion and negative assurance letter of Company Counsel required to be delivered pursuant to </w:t>
      </w:r>
      <w:r>
        <w:rPr>
          <w:rFonts w:ascii="Times New Roman;serif" w:hAnsi="Times New Roman;serif"/>
          <w:b w:val="false"/>
          <w:color w:val="000000"/>
          <w:sz w:val="24"/>
          <w:u w:val="single"/>
        </w:rPr>
        <w:t>Section 7(n)</w:t>
      </w:r>
      <w:r>
        <w:rPr>
          <w:color w:val="000000"/>
        </w:rPr>
        <w:t xml:space="preserve"> </w:t>
      </w:r>
      <w:r>
        <w:rPr>
          <w:rFonts w:ascii="Times New Roman;serif" w:hAnsi="Times New Roman;serif"/>
          <w:b w:val="false"/>
          <w:color w:val="000000"/>
          <w:sz w:val="24"/>
        </w:rPr>
        <w:t xml:space="preserve">on or before the date on which such delivery of such opinion is required pursuant to </w:t>
      </w:r>
      <w:r>
        <w:rPr>
          <w:rFonts w:ascii="Times New Roman;serif" w:hAnsi="Times New Roman;serif"/>
          <w:b w:val="false"/>
          <w:color w:val="000000"/>
          <w:sz w:val="24"/>
          <w:u w:val="single"/>
        </w:rPr>
        <w:t>Section 7(n)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(f) </w:t>
      </w:r>
      <w:r>
        <w:rPr>
          <w:color w:val="000000"/>
        </w:rPr>
        <w:t>    </w:t>
      </w:r>
      <w:r>
        <w:rPr>
          <w:rFonts w:ascii="Times New Roman;serif" w:hAnsi="Times New Roman;serif"/>
          <w:b w:val="false"/>
          <w:color w:val="000000"/>
          <w:sz w:val="24"/>
          <w:u w:val="single"/>
        </w:rPr>
        <w:t>Company IP Counsel Legal Opinion</w:t>
      </w:r>
      <w:r>
        <w:rPr>
          <w:rFonts w:ascii="Times New Roman;serif" w:hAnsi="Times New Roman;serif"/>
          <w:b w:val="false"/>
          <w:color w:val="000000"/>
          <w:sz w:val="24"/>
        </w:rPr>
        <w:t>. TD Cowen shall have received the opinion of Company IP Counsel required to be delivered pursuant to Section 7(o) on or before the date on which such delivery of such opinion is required pursuant to Section 7(o).</w:t>
      </w:r>
    </w:p>
    <w:p>
      <w:pPr>
        <w:pStyle w:val="TextBody"/>
        <w:bidi w:val="0"/>
        <w:spacing w:lineRule="auto" w:line="240" w:before="0" w:after="240"/>
        <w:ind w:left="0" w:right="0" w:firstLine="720"/>
        <w:jc w:val="both"/>
        <w:rPr/>
      </w:pPr>
      <w:r>
        <w:rPr>
          <w:rFonts w:ascii="Times New Roman;serif" w:hAnsi="Times New Roman;serif"/>
          <w:b w:val="false"/>
          <w:color w:val="000000"/>
          <w:sz w:val="24"/>
        </w:rPr>
        <w:t>(g) </w:t>
      </w:r>
      <w:r>
        <w:rPr>
          <w:color w:val="000000"/>
        </w:rPr>
        <w:t>    </w:t>
      </w:r>
      <w:r>
        <w:rPr>
          <w:rFonts w:ascii="Times New Roman;serif" w:hAnsi="Times New Roman;serif"/>
          <w:b w:val="false"/>
          <w:color w:val="000000"/>
          <w:sz w:val="24"/>
          <w:u w:val="single"/>
        </w:rPr>
        <w:t>TD Cowen Counsel Legal Opinion</w:t>
      </w:r>
      <w:r>
        <w:rPr>
          <w:rFonts w:ascii="Times New Roman;serif" w:hAnsi="Times New Roman;serif"/>
          <w:b w:val="false"/>
          <w:color w:val="000000"/>
          <w:sz w:val="24"/>
        </w:rPr>
        <w:t xml:space="preserve">. TD Cowen shall have received from Goodwin Procter LLP, counsel for TD Cowen, such opinion or opinions, on or before the date on which the delivery of the Company Counsel legal opinion is required pursuant to </w:t>
      </w:r>
      <w:r>
        <w:rPr>
          <w:rFonts w:ascii="Times New Roman;serif" w:hAnsi="Times New Roman;serif"/>
          <w:b w:val="false"/>
          <w:color w:val="000000"/>
          <w:sz w:val="24"/>
          <w:u w:val="single"/>
        </w:rPr>
        <w:t>Section 7(n)</w:t>
      </w:r>
      <w:r>
        <w:rPr>
          <w:rFonts w:ascii="Times New Roman;serif" w:hAnsi="Times New Roman;serif"/>
          <w:b w:val="false"/>
          <w:color w:val="000000"/>
          <w:sz w:val="24"/>
        </w:rPr>
        <w:t>, with respect to such matters as TD Cowen may reasonably require, and the Company shall have furnished to such counsel such documents as they request for enabling them to pass upon such matters.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(h) </w:t>
      </w:r>
      <w:r>
        <w:rPr>
          <w:color w:val="000000"/>
        </w:rPr>
        <w:t>    </w:t>
      </w:r>
      <w:r>
        <w:rPr>
          <w:rFonts w:ascii="Times New Roman;serif" w:hAnsi="Times New Roman;serif"/>
          <w:b w:val="false"/>
          <w:color w:val="000000"/>
          <w:sz w:val="24"/>
          <w:u w:val="single"/>
        </w:rPr>
        <w:t>Comfort Letter</w:t>
      </w:r>
      <w:r>
        <w:rPr>
          <w:rFonts w:ascii="Times New Roman;serif" w:hAnsi="Times New Roman;serif"/>
          <w:b w:val="false"/>
          <w:color w:val="000000"/>
          <w:sz w:val="24"/>
        </w:rPr>
        <w:t xml:space="preserve">. TD Cowen shall have received the Comfort Letter required to be delivered pursuant to </w:t>
      </w:r>
      <w:r>
        <w:rPr>
          <w:rFonts w:ascii="Times New Roman;serif" w:hAnsi="Times New Roman;serif"/>
          <w:b w:val="false"/>
          <w:color w:val="000000"/>
          <w:sz w:val="24"/>
          <w:u w:val="single"/>
        </w:rPr>
        <w:t>Section 7(p)</w:t>
      </w:r>
      <w:r>
        <w:rPr>
          <w:color w:val="000000"/>
        </w:rPr>
        <w:t xml:space="preserve"> </w:t>
      </w:r>
      <w:r>
        <w:rPr>
          <w:rFonts w:ascii="Times New Roman;serif" w:hAnsi="Times New Roman;serif"/>
          <w:b w:val="false"/>
          <w:color w:val="000000"/>
          <w:sz w:val="24"/>
        </w:rPr>
        <w:t xml:space="preserve">on or before the date on which such delivery of such Comfort Letter is required pursuant to </w:t>
      </w:r>
      <w:r>
        <w:rPr>
          <w:rFonts w:ascii="Times New Roman;serif" w:hAnsi="Times New Roman;serif"/>
          <w:b w:val="false"/>
          <w:color w:val="000000"/>
          <w:sz w:val="24"/>
          <w:u w:val="single"/>
        </w:rPr>
        <w:t>Section 7(p)</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(i) </w:t>
      </w:r>
      <w:r>
        <w:rPr>
          <w:color w:val="000000"/>
        </w:rPr>
        <w:t>    </w:t>
      </w:r>
      <w:r>
        <w:rPr>
          <w:rFonts w:ascii="Times New Roman;serif" w:hAnsi="Times New Roman;serif"/>
          <w:b w:val="false"/>
          <w:color w:val="000000"/>
          <w:sz w:val="24"/>
          <w:u w:val="single"/>
        </w:rPr>
        <w:t>Representation Certificate</w:t>
      </w:r>
      <w:r>
        <w:rPr>
          <w:rFonts w:ascii="Times New Roman;serif" w:hAnsi="Times New Roman;serif"/>
          <w:b w:val="false"/>
          <w:color w:val="000000"/>
          <w:sz w:val="24"/>
        </w:rPr>
        <w:t xml:space="preserve">. TD Cowen shall have received the certificate required to be delivered pursuant to </w:t>
      </w:r>
      <w:r>
        <w:rPr>
          <w:rFonts w:ascii="Times New Roman;serif" w:hAnsi="Times New Roman;serif"/>
          <w:b w:val="false"/>
          <w:color w:val="000000"/>
          <w:sz w:val="24"/>
          <w:u w:val="single"/>
        </w:rPr>
        <w:t>Section 7(m)</w:t>
      </w:r>
      <w:r>
        <w:rPr>
          <w:color w:val="000000"/>
        </w:rPr>
        <w:t xml:space="preserve"> </w:t>
      </w:r>
      <w:r>
        <w:rPr>
          <w:rFonts w:ascii="Times New Roman;serif" w:hAnsi="Times New Roman;serif"/>
          <w:b w:val="false"/>
          <w:color w:val="000000"/>
          <w:sz w:val="24"/>
        </w:rPr>
        <w:t xml:space="preserve">on or before the date on which delivery of such certificate is required pursuant to </w:t>
      </w:r>
      <w:r>
        <w:rPr>
          <w:rFonts w:ascii="Times New Roman;serif" w:hAnsi="Times New Roman;serif"/>
          <w:b w:val="false"/>
          <w:color w:val="000000"/>
          <w:sz w:val="24"/>
          <w:u w:val="single"/>
        </w:rPr>
        <w:t>Section 7(m)</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85445"/>
                <wp:effectExtent l="0" t="0" r="0" b="0"/>
                <wp:wrapNone/>
                <wp:docPr id="27"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(j) </w:t>
      </w:r>
      <w:r>
        <w:rPr>
          <w:color w:val="000000"/>
        </w:rPr>
        <w:t>    </w:t>
      </w:r>
      <w:r>
        <w:rPr>
          <w:rFonts w:ascii="Times New Roman;serif" w:hAnsi="Times New Roman;serif"/>
          <w:b w:val="false"/>
          <w:color w:val="000000"/>
          <w:sz w:val="24"/>
          <w:u w:val="single"/>
        </w:rPr>
        <w:t>Secretary’s Certificate</w:t>
      </w:r>
      <w:r>
        <w:rPr>
          <w:rFonts w:ascii="Times New Roman;serif" w:hAnsi="Times New Roman;serif"/>
          <w:b w:val="false"/>
          <w:color w:val="000000"/>
          <w:sz w:val="24"/>
        </w:rPr>
        <w:t>. On or prior to the First Delivery Date, TD Cowen shall have received a certificate, signed on behalf of the Company by its corporate secretary, in form and substance reasonably satisfactory to TD Cowen and its counsel.</w:t>
      </w:r>
    </w:p>
    <w:p>
      <w:pPr>
        <w:pStyle w:val="TextBody"/>
        <w:bidi w:val="0"/>
        <w:spacing w:lineRule="auto" w:line="240" w:before="0" w:after="240"/>
        <w:ind w:left="0" w:right="0" w:firstLine="720"/>
        <w:jc w:val="both"/>
        <w:rPr/>
      </w:pPr>
      <w:r>
        <w:rPr>
          <w:rFonts w:ascii="Times New Roman;serif" w:hAnsi="Times New Roman;serif"/>
          <w:b w:val="false"/>
          <w:color w:val="000000"/>
          <w:sz w:val="24"/>
        </w:rPr>
        <w:t>(k) </w:t>
      </w:r>
      <w:r>
        <w:rPr>
          <w:color w:val="000000"/>
        </w:rPr>
        <w:t>    </w:t>
      </w:r>
      <w:r>
        <w:rPr>
          <w:rFonts w:ascii="Times New Roman;serif" w:hAnsi="Times New Roman;serif"/>
          <w:b w:val="false"/>
          <w:color w:val="000000"/>
          <w:sz w:val="24"/>
          <w:u w:val="single"/>
        </w:rPr>
        <w:t>CFO Certificate</w:t>
      </w:r>
      <w:r>
        <w:rPr>
          <w:rFonts w:ascii="Times New Roman;serif" w:hAnsi="Times New Roman;serif"/>
          <w:b w:val="false"/>
          <w:color w:val="000000"/>
          <w:sz w:val="24"/>
        </w:rPr>
        <w:t xml:space="preserve">. If requested by TD Cowen or its counsel, TD Cowen shall have received the CFO Certificate required to be delivered pursuant to </w:t>
      </w:r>
      <w:r>
        <w:rPr>
          <w:rFonts w:ascii="Times New Roman;serif" w:hAnsi="Times New Roman;serif"/>
          <w:b w:val="false"/>
          <w:color w:val="000000"/>
          <w:sz w:val="24"/>
          <w:u w:val="single"/>
        </w:rPr>
        <w:t>Section 7(q)</w:t>
      </w:r>
      <w:r>
        <w:rPr>
          <w:color w:val="000000"/>
        </w:rPr>
        <w:t xml:space="preserve"> </w:t>
      </w:r>
      <w:r>
        <w:rPr>
          <w:rFonts w:ascii="Times New Roman;serif" w:hAnsi="Times New Roman;serif"/>
          <w:b w:val="false"/>
          <w:color w:val="000000"/>
          <w:sz w:val="24"/>
        </w:rPr>
        <w:t xml:space="preserve">on or before the date on which delivery of such certificate is required pursuant to </w:t>
      </w:r>
      <w:r>
        <w:rPr>
          <w:rFonts w:ascii="Times New Roman;serif" w:hAnsi="Times New Roman;serif"/>
          <w:b w:val="false"/>
          <w:color w:val="000000"/>
          <w:sz w:val="24"/>
          <w:u w:val="single"/>
        </w:rPr>
        <w:t>Section 7(q)</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(l) </w:t>
      </w:r>
      <w:r>
        <w:rPr>
          <w:color w:val="000000"/>
        </w:rPr>
        <w:t>    </w:t>
      </w:r>
      <w:r>
        <w:rPr>
          <w:rFonts w:ascii="Times New Roman;serif" w:hAnsi="Times New Roman;serif"/>
          <w:b w:val="false"/>
          <w:color w:val="000000"/>
          <w:sz w:val="24"/>
          <w:u w:val="single"/>
        </w:rPr>
        <w:t>No Suspension</w:t>
      </w:r>
      <w:r>
        <w:rPr>
          <w:rFonts w:ascii="Times New Roman;serif" w:hAnsi="Times New Roman;serif"/>
          <w:b w:val="false"/>
          <w:color w:val="000000"/>
          <w:sz w:val="24"/>
        </w:rPr>
        <w:t>. Trading in the Common Stock shall not have been suspended on Nasdaq.</w:t>
      </w:r>
    </w:p>
    <w:p>
      <w:pPr>
        <w:pStyle w:val="TextBody"/>
        <w:bidi w:val="0"/>
        <w:spacing w:lineRule="auto" w:line="240" w:before="0" w:after="240"/>
        <w:ind w:left="0" w:right="0" w:firstLine="720"/>
        <w:jc w:val="both"/>
        <w:rPr/>
      </w:pPr>
      <w:r>
        <w:rPr>
          <w:rFonts w:ascii="Times New Roman;serif" w:hAnsi="Times New Roman;serif"/>
          <w:b w:val="false"/>
          <w:color w:val="000000"/>
          <w:sz w:val="24"/>
        </w:rPr>
        <w:t>(m) </w:t>
      </w:r>
      <w:r>
        <w:rPr>
          <w:color w:val="000000"/>
        </w:rPr>
        <w:t>    </w:t>
      </w:r>
      <w:r>
        <w:rPr>
          <w:rFonts w:ascii="Times New Roman;serif" w:hAnsi="Times New Roman;serif"/>
          <w:b w:val="false"/>
          <w:color w:val="000000"/>
          <w:sz w:val="24"/>
          <w:u w:val="single"/>
        </w:rPr>
        <w:t>Other Materials</w:t>
      </w:r>
      <w:r>
        <w:rPr>
          <w:rFonts w:ascii="Times New Roman;serif" w:hAnsi="Times New Roman;serif"/>
          <w:b w:val="false"/>
          <w:color w:val="000000"/>
          <w:sz w:val="24"/>
        </w:rPr>
        <w:t xml:space="preserve">. On each date on which the Company is required to deliver a certificate pursuant to </w:t>
      </w:r>
      <w:r>
        <w:rPr>
          <w:rFonts w:ascii="Times New Roman;serif" w:hAnsi="Times New Roman;serif"/>
          <w:b w:val="false"/>
          <w:color w:val="000000"/>
          <w:sz w:val="24"/>
          <w:u w:val="single"/>
        </w:rPr>
        <w:t>Section 7(m)</w:t>
      </w:r>
      <w:r>
        <w:rPr>
          <w:rFonts w:ascii="Times New Roman;serif" w:hAnsi="Times New Roman;serif"/>
          <w:b w:val="false"/>
          <w:color w:val="000000"/>
          <w:sz w:val="24"/>
        </w:rPr>
        <w:t>, the Company shall have furnished to TD Cowen such appropriate further information, certificates and documents as TD Cowen may have reasonably requested and which are customarily furnished by an issuer of securities in connection with a securities offering. All such opinions, certificates, letters and other documents shall have been in compliance with the provisions hereof. The Company will furnish TD Cowen with such conformed copies of such opinions, certificates, letters and other documents as TD Cowen shall have reasonably requested.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(n) </w:t>
      </w:r>
      <w:r>
        <w:rPr>
          <w:color w:val="000000"/>
        </w:rPr>
        <w:t>    </w:t>
      </w:r>
      <w:r>
        <w:rPr>
          <w:rFonts w:ascii="Times New Roman;serif" w:hAnsi="Times New Roman;serif"/>
          <w:b w:val="false"/>
          <w:color w:val="000000"/>
          <w:sz w:val="24"/>
          <w:u w:val="single"/>
        </w:rPr>
        <w:t>Securities Act Filings Made</w:t>
      </w:r>
      <w:r>
        <w:rPr>
          <w:rFonts w:ascii="Times New Roman;serif" w:hAnsi="Times New Roman;serif"/>
          <w:b w:val="false"/>
          <w:color w:val="000000"/>
          <w:sz w:val="24"/>
        </w:rPr>
        <w:t>. All filings with the Commission required by Rule 424 under the Securities Act to have been filed prior to the issuance of any Placement Notice hereunder shall have been made within the applicable time period prescribed for such filing by Rule 424.</w:t>
      </w:r>
    </w:p>
    <w:p>
      <w:pPr>
        <w:pStyle w:val="TextBody"/>
        <w:bidi w:val="0"/>
        <w:spacing w:lineRule="auto" w:line="240" w:before="0" w:after="240"/>
        <w:ind w:left="0" w:right="0" w:firstLine="720"/>
        <w:jc w:val="both"/>
        <w:rPr/>
      </w:pPr>
      <w:r>
        <w:rPr>
          <w:rFonts w:ascii="Times New Roman;serif" w:hAnsi="Times New Roman;serif"/>
          <w:b w:val="false"/>
          <w:color w:val="000000"/>
          <w:sz w:val="24"/>
        </w:rPr>
        <w:t>(o) </w:t>
      </w:r>
      <w:r>
        <w:rPr>
          <w:color w:val="000000"/>
        </w:rPr>
        <w:t>    </w:t>
      </w:r>
      <w:r>
        <w:rPr>
          <w:rFonts w:ascii="Times New Roman;serif" w:hAnsi="Times New Roman;serif"/>
          <w:b w:val="false"/>
          <w:color w:val="000000"/>
          <w:sz w:val="24"/>
          <w:u w:val="single"/>
        </w:rPr>
        <w:t>Nasdaq Listing</w:t>
      </w:r>
      <w:r>
        <w:rPr>
          <w:rFonts w:ascii="Times New Roman;serif" w:hAnsi="Times New Roman;serif"/>
          <w:b w:val="false"/>
          <w:color w:val="000000"/>
          <w:sz w:val="24"/>
        </w:rPr>
        <w:t>. The Placement Shares shall either have been (i) approved for listing on Nasdaq, subject only to notice of issuance, or (ii) the Company shall have filed an application for listing of the Placement Shares on Nasdaq at, or prior to, the issuance of any Placement Notice.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(p) </w:t>
      </w:r>
      <w:r>
        <w:rPr>
          <w:color w:val="000000"/>
        </w:rPr>
        <w:t>    </w:t>
      </w:r>
      <w:r>
        <w:rPr>
          <w:rFonts w:ascii="Times New Roman;serif" w:hAnsi="Times New Roman;serif"/>
          <w:b w:val="false"/>
          <w:color w:val="000000"/>
          <w:sz w:val="24"/>
          <w:u w:val="single"/>
        </w:rPr>
        <w:t>No Termination Event</w:t>
      </w:r>
      <w:r>
        <w:rPr>
          <w:rFonts w:ascii="Times New Roman;serif" w:hAnsi="Times New Roman;serif"/>
          <w:b w:val="false"/>
          <w:color w:val="000000"/>
          <w:sz w:val="24"/>
        </w:rPr>
        <w:t xml:space="preserve">. There shall not have occurred any event that would permit TD Cowen to terminate this Agreement pursuant to </w:t>
      </w:r>
      <w:r>
        <w:rPr>
          <w:rFonts w:ascii="Times New Roman;serif" w:hAnsi="Times New Roman;serif"/>
          <w:b w:val="false"/>
          <w:color w:val="000000"/>
          <w:sz w:val="24"/>
          <w:u w:val="single"/>
        </w:rPr>
        <w:t>Section 11(a)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Indemnification and Contribution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 </w:t>
      </w:r>
      <w:r>
        <w:rPr>
          <w:color w:val="000000"/>
        </w:rPr>
        <w:t>    </w:t>
      </w:r>
      <w:r>
        <w:rPr>
          <w:rFonts w:ascii="Times New Roman;serif" w:hAnsi="Times New Roman;serif"/>
          <w:b w:val="false"/>
          <w:color w:val="000000"/>
          <w:sz w:val="24"/>
          <w:u w:val="single"/>
        </w:rPr>
        <w:t>Company Indemnification</w:t>
      </w:r>
      <w:r>
        <w:rPr>
          <w:rFonts w:ascii="Times New Roman;serif" w:hAnsi="Times New Roman;serif"/>
          <w:b w:val="false"/>
          <w:color w:val="000000"/>
          <w:sz w:val="24"/>
        </w:rPr>
        <w:t xml:space="preserve">. The Company agrees to indemnify and hold harmless TD Cowen, its affiliates and each of their respective directors, officers, partners, employees and agents of TD Cowen and each person, if any, who (i) controls TD Cowen within the meaning of Section 15 of the Securities Act or Section 20 of the Exchange Act, or (ii) is controlled by or is under common control with TD Cowen from and against any and all losses, claims, liabilities, expenses and damages (including, but not limited to, any and all reasonable documented investigative, legal and other expenses incurred in connection with, and any and all amounts paid in settlement (in accordance with </w:t>
      </w:r>
      <w:r>
        <w:rPr>
          <w:rFonts w:ascii="Times New Roman;serif" w:hAnsi="Times New Roman;serif"/>
          <w:b w:val="false"/>
          <w:color w:val="000000"/>
          <w:sz w:val="24"/>
          <w:u w:val="single"/>
        </w:rPr>
        <w:t>Section 9(c)</w:t>
      </w:r>
      <w:r>
        <w:rPr>
          <w:rFonts w:ascii="Times New Roman;serif" w:hAnsi="Times New Roman;serif"/>
          <w:b w:val="false"/>
          <w:color w:val="000000"/>
          <w:sz w:val="24"/>
        </w:rPr>
        <w:t xml:space="preserve">) of, any action, suit or proceeding between any of the indemnified parties and any indemnifying parties or between any indemnified party and any third party, or otherwise, or any claim asserted), as and when incurred, to which TD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w:t>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28"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omission to state in any such document a material fact required to be stated in it or necessary to make the statements in it, in the light of (other than in the case of the Registration Statement) the circumstances under which they were made, not misleading or (z) any breach by any of the indemnifying parties of any of their respective representations, warranties and agreements contained in this Agreement;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third sentence in the eighth paragraph under the caption “Plan of Distribution” in the Prospectus. This indemnity agreement will be in addition to any liability that the Company might otherwise have.</w:t>
      </w:r>
    </w:p>
    <w:p>
      <w:pPr>
        <w:pStyle w:val="TextBody"/>
        <w:bidi w:val="0"/>
        <w:spacing w:lineRule="auto" w:line="240" w:before="0" w:after="240"/>
        <w:ind w:left="0" w:right="0" w:firstLine="720"/>
        <w:jc w:val="both"/>
        <w:rPr/>
      </w:pPr>
      <w:r>
        <w:rPr>
          <w:rFonts w:ascii="Times New Roman;serif" w:hAnsi="Times New Roman;serif"/>
          <w:b w:val="false"/>
          <w:color w:val="000000"/>
          <w:sz w:val="24"/>
        </w:rPr>
        <w:t>(b) </w:t>
      </w:r>
      <w:r>
        <w:rPr>
          <w:color w:val="000000"/>
        </w:rPr>
        <w:t>    </w:t>
      </w:r>
      <w:r>
        <w:rPr>
          <w:rFonts w:ascii="Times New Roman;serif" w:hAnsi="Times New Roman;serif"/>
          <w:b w:val="false"/>
          <w:color w:val="000000"/>
          <w:sz w:val="24"/>
          <w:u w:val="single"/>
        </w:rPr>
        <w:t>TD Cowen Indemnification</w:t>
      </w:r>
      <w:r>
        <w:rPr>
          <w:rFonts w:ascii="Times New Roman;serif" w:hAnsi="Times New Roman;serif"/>
          <w:b w:val="false"/>
          <w:color w:val="000000"/>
          <w:sz w:val="24"/>
        </w:rPr>
        <w:t xml:space="preserve">. TD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serif" w:hAnsi="Times New Roman;serif"/>
          <w:b w:val="false"/>
          <w:color w:val="000000"/>
          <w:sz w:val="24"/>
          <w:u w:val="single"/>
        </w:rPr>
        <w:t>Section 9(a)</w:t>
      </w:r>
      <w:r>
        <w:rPr>
          <w:rFonts w:ascii="Times New Roman;serif" w:hAnsi="Times New Roman;serif"/>
          <w:b w:val="false"/>
          <w:color w:val="000000"/>
          <w:sz w:val="24"/>
        </w:rPr>
        <w:t>, as incurred, but only with respect to untrue statements or omissions, or alleged untrue statements or omissions, made in the Registration Statement (or any amendments thereto) or the Prospectus (or any amendment or supplement thereto) in reliance upon and in conformity with TD Cowen’s Information.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(c) </w:t>
      </w:r>
      <w:r>
        <w:rPr>
          <w:color w:val="000000"/>
        </w:rPr>
        <w:t>    </w:t>
      </w:r>
      <w:r>
        <w:rPr>
          <w:rFonts w:ascii="Times New Roman;serif" w:hAnsi="Times New Roman;serif"/>
          <w:b w:val="false"/>
          <w:color w:val="000000"/>
          <w:sz w:val="24"/>
          <w:u w:val="single"/>
        </w:rPr>
        <w:t>Procedure</w:t>
      </w:r>
      <w:r>
        <w:rPr>
          <w:rFonts w:ascii="Times New Roman;serif" w:hAnsi="Times New Roman;serif"/>
          <w:b w:val="false"/>
          <w:color w:val="000000"/>
          <w:sz w:val="24"/>
        </w:rPr>
        <w:t xml:space="preserve">. Any party that proposes to assert the right to be indemnified under this </w:t>
      </w:r>
      <w:r>
        <w:rPr>
          <w:rFonts w:ascii="Times New Roman;serif" w:hAnsi="Times New Roman;serif"/>
          <w:b w:val="false"/>
          <w:color w:val="000000"/>
          <w:sz w:val="24"/>
          <w:u w:val="single"/>
        </w:rPr>
        <w:t xml:space="preserve">Section 9 </w:t>
      </w:r>
      <w:r>
        <w:rPr>
          <w:rFonts w:ascii="Times New Roman;serif" w:hAnsi="Times New Roman;serif"/>
          <w:b w:val="false"/>
          <w:color w:val="000000"/>
          <w:sz w:val="24"/>
        </w:rPr>
        <w:t xml:space="preserve">will, promptly after receipt of notice of commencement of any action against such party in respect of which a claim is to be made against an indemnifying party or parties under this </w:t>
      </w:r>
      <w:r>
        <w:rPr>
          <w:rFonts w:ascii="Times New Roman;serif" w:hAnsi="Times New Roman;serif"/>
          <w:b w:val="false"/>
          <w:color w:val="000000"/>
          <w:sz w:val="24"/>
          <w:u w:val="single"/>
        </w:rPr>
        <w:t>Section 9</w:t>
      </w:r>
      <w:r>
        <w:rPr>
          <w:rFonts w:ascii="Times New Roman;serif" w:hAnsi="Times New Roman;serif"/>
          <w:b w:val="false"/>
          <w:color w:val="000000"/>
          <w:sz w:val="24"/>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and (ii) any liability that it may have to any indemnified party under the foregoing provision of 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29" name="Frame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(whether or not any indemnified party is a party thereto), unless such settlement, compromise or consent includes an unconditional release of each indemnified party from all liability arising or that may arise out of such claim, action or proceeding. </w:t>
      </w:r>
    </w:p>
    <w:p>
      <w:pPr>
        <w:pStyle w:val="TextBody"/>
        <w:bidi w:val="0"/>
        <w:spacing w:lineRule="auto" w:line="240" w:before="0" w:after="240"/>
        <w:ind w:left="0" w:right="0" w:firstLine="720"/>
        <w:jc w:val="both"/>
        <w:rPr/>
      </w:pPr>
      <w:r>
        <w:rPr>
          <w:rFonts w:ascii="Times New Roman;serif" w:hAnsi="Times New Roman;serif"/>
          <w:b w:val="false"/>
          <w:color w:val="000000"/>
          <w:sz w:val="24"/>
        </w:rPr>
        <w:t>(d) </w:t>
      </w:r>
      <w:r>
        <w:rPr>
          <w:color w:val="000000"/>
        </w:rPr>
        <w:t>    </w:t>
      </w:r>
      <w:r>
        <w:rPr>
          <w:rFonts w:ascii="Times New Roman;serif" w:hAnsi="Times New Roman;serif"/>
          <w:b w:val="false"/>
          <w:color w:val="000000"/>
          <w:sz w:val="24"/>
          <w:u w:val="single"/>
        </w:rPr>
        <w:t>Contribution</w:t>
      </w:r>
      <w:r>
        <w:rPr>
          <w:rFonts w:ascii="Times New Roman;serif" w:hAnsi="Times New Roman;serif"/>
          <w:b w:val="false"/>
          <w:color w:val="000000"/>
          <w:sz w:val="24"/>
        </w:rPr>
        <w:t xml:space="preserve">. In order to provide for just and equitable contribution in circumstances in which the indemnification provided for in the foregoing paragraphs of 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is applicable in accordance with its terms but for any reason is held to be unavailable from the Company or TD Cowen, the Company and TD Cowen will contribute to the total losses, claims, liabilities, expenses and damages (including any documented investigative, legal and other expenses reasonably incurred in connection with, and any amount paid in settlement of, any action, suit or proceeding or any claim asserted, but after deducting any contribution received by the Company from persons other than TD Cowen, such as persons who control the Company within the meaning of the Securities Act, officers of the Company who signed the Registration Statement and directors of the Company, who also may be liable for contribution) to which the Company and TD Cowen may be subject in such proportion as shall be appropriate to reflect the relative benefits received by the Company on the one hand and TD Cowen on the other. The relative benefits received by the Company on the one hand and TD Cowen on the other hand shall be deemed to be in the same proportion as the total Net Proceeds from the sale of the Placement Shares (before deducting expenses) received by the Company bear to the total compensation received by TD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TD Cowen, the intent of the parties and their relative knowledge, access to information and opportunity to correct or prevent such statement or omission. The Company and TD Cowen agree that it would not be just and equitable if contributions pursuant to this </w:t>
      </w:r>
      <w:r>
        <w:rPr>
          <w:rFonts w:ascii="Times New Roman;serif" w:hAnsi="Times New Roman;serif"/>
          <w:b w:val="false"/>
          <w:color w:val="000000"/>
          <w:sz w:val="24"/>
          <w:u w:val="single"/>
        </w:rPr>
        <w:t>Section 9(d)</w:t>
      </w:r>
      <w:r>
        <w:rPr>
          <w:color w:val="000000"/>
        </w:rPr>
        <w:t xml:space="preserve"> </w:t>
      </w:r>
      <w:r>
        <w:rPr>
          <w:rFonts w:ascii="Times New Roman;serif" w:hAnsi="Times New Roman;serif"/>
          <w:b w:val="false"/>
          <w:color w:val="000000"/>
          <w:sz w:val="24"/>
        </w:rPr>
        <w:t xml:space="preserve">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serif" w:hAnsi="Times New Roman;serif"/>
          <w:b w:val="false"/>
          <w:color w:val="000000"/>
          <w:sz w:val="24"/>
          <w:u w:val="single"/>
        </w:rPr>
        <w:t>Section 9(d)</w:t>
      </w:r>
      <w:r>
        <w:rPr>
          <w:color w:val="000000"/>
        </w:rPr>
        <w:t xml:space="preserve"> </w:t>
      </w:r>
      <w:r>
        <w:rPr>
          <w:rFonts w:ascii="Times New Roman;serif" w:hAnsi="Times New Roman;serif"/>
          <w:b w:val="false"/>
          <w:color w:val="000000"/>
          <w:sz w:val="24"/>
        </w:rPr>
        <w:t xml:space="preserve">shall be deemed to include, for the purpose of this </w:t>
      </w:r>
      <w:r>
        <w:rPr>
          <w:rFonts w:ascii="Times New Roman;serif" w:hAnsi="Times New Roman;serif"/>
          <w:b w:val="false"/>
          <w:color w:val="000000"/>
          <w:sz w:val="24"/>
          <w:u w:val="single"/>
        </w:rPr>
        <w:t>Section 9(d)</w:t>
      </w:r>
      <w:r>
        <w:rPr>
          <w:rFonts w:ascii="Times New Roman;serif" w:hAnsi="Times New Roman;serif"/>
          <w:b w:val="false"/>
          <w:color w:val="000000"/>
          <w:sz w:val="24"/>
        </w:rPr>
        <w:t xml:space="preserve">, any documented legal or other expenses reasonably incurred by such indemnified party in connection with investigating or defending any such action or claim to the extent consistent with </w:t>
      </w:r>
      <w:r>
        <w:rPr>
          <w:rFonts w:ascii="Times New Roman;serif" w:hAnsi="Times New Roman;serif"/>
          <w:b w:val="false"/>
          <w:color w:val="000000"/>
          <w:sz w:val="24"/>
          <w:u w:val="single"/>
        </w:rPr>
        <w:t>Section 9(c)</w:t>
      </w:r>
      <w:r>
        <w:rPr>
          <w:color w:val="000000"/>
        </w:rPr>
        <w:t xml:space="preserve"> </w:t>
      </w:r>
      <w:r>
        <w:rPr>
          <w:rFonts w:ascii="Times New Roman;serif" w:hAnsi="Times New Roman;serif"/>
          <w:b w:val="false"/>
          <w:color w:val="000000"/>
          <w:sz w:val="24"/>
        </w:rPr>
        <w:t xml:space="preserve">hereof. Notwithstanding the foregoing provisions of this </w:t>
      </w:r>
      <w:r>
        <w:rPr>
          <w:rFonts w:ascii="Times New Roman;serif" w:hAnsi="Times New Roman;serif"/>
          <w:b w:val="false"/>
          <w:color w:val="000000"/>
          <w:sz w:val="24"/>
          <w:u w:val="single"/>
        </w:rPr>
        <w:t>Section 9(d)</w:t>
      </w:r>
      <w:r>
        <w:rPr>
          <w:rFonts w:ascii="Times New Roman;serif" w:hAnsi="Times New Roman;serif"/>
          <w:b w:val="false"/>
          <w:color w:val="000000"/>
          <w:sz w:val="24"/>
        </w:rPr>
        <w:t xml:space="preserve">, TD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serif" w:hAnsi="Times New Roman;serif"/>
          <w:b w:val="false"/>
          <w:color w:val="000000"/>
          <w:sz w:val="24"/>
          <w:u w:val="single"/>
        </w:rPr>
        <w:t>Section 9(d)</w:t>
      </w:r>
      <w:r>
        <w:rPr>
          <w:rFonts w:ascii="Times New Roman;serif" w:hAnsi="Times New Roman;serif"/>
          <w:b w:val="false"/>
          <w:color w:val="000000"/>
          <w:sz w:val="24"/>
        </w:rPr>
        <w:t xml:space="preserve">, any person who controls a party to this Agreement within the meaning of the Securities Act, and any officers, </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30" name="Frame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directors, partners, employees or agents of TD Cowen, will have the same rights to contribution as that party, and each officer of the Company who signed the Registration Statement, and each director of the Company,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serif" w:hAnsi="Times New Roman;serif"/>
          <w:b w:val="false"/>
          <w:color w:val="000000"/>
          <w:sz w:val="24"/>
          <w:u w:val="single"/>
        </w:rPr>
        <w:t>Section 9(d)</w:t>
      </w:r>
      <w:r>
        <w:rPr>
          <w:rFonts w:ascii="Times New Roman;serif" w:hAnsi="Times New Roman;serif"/>
          <w:b w:val="false"/>
          <w:color w:val="000000"/>
          <w:sz w:val="24"/>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serif" w:hAnsi="Times New Roman;serif"/>
          <w:b w:val="false"/>
          <w:color w:val="000000"/>
          <w:sz w:val="24"/>
          <w:u w:val="single"/>
        </w:rPr>
        <w:t>Section 9(d)</w:t>
      </w:r>
      <w:r>
        <w:rPr>
          <w:color w:val="000000"/>
        </w:rPr>
        <w:t xml:space="preserve"> </w:t>
      </w:r>
      <w:r>
        <w:rPr>
          <w:rFonts w:ascii="Times New Roman;serif" w:hAnsi="Times New Roman;serif"/>
          <w:b w:val="false"/>
          <w:color w:val="000000"/>
          <w:sz w:val="24"/>
        </w:rPr>
        <w:t xml:space="preserve">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serif" w:hAnsi="Times New Roman;serif"/>
          <w:b w:val="false"/>
          <w:color w:val="000000"/>
          <w:sz w:val="24"/>
          <w:u w:val="single"/>
        </w:rPr>
        <w:t>Section 9(c)</w:t>
      </w:r>
      <w:r>
        <w:rPr>
          <w:color w:val="000000"/>
        </w:rPr>
        <w:t xml:space="preserve"> </w:t>
      </w:r>
      <w:r>
        <w:rPr>
          <w:rFonts w:ascii="Times New Roman;serif" w:hAnsi="Times New Roman;serif"/>
          <w:b w:val="false"/>
          <w:color w:val="000000"/>
          <w:sz w:val="24"/>
        </w:rPr>
        <w:t xml:space="preserve">hereof, no party will be liable for contribution with respect to any action or claim settled without its written consent if such consent is required pursuant to </w:t>
      </w:r>
      <w:r>
        <w:rPr>
          <w:rFonts w:ascii="Times New Roman;serif" w:hAnsi="Times New Roman;serif"/>
          <w:b w:val="false"/>
          <w:color w:val="000000"/>
          <w:sz w:val="24"/>
          <w:u w:val="single"/>
        </w:rPr>
        <w:t>Section 9(c)</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Representations and Agreements to Survive Delivery</w:t>
      </w:r>
      <w:r>
        <w:rPr>
          <w:rFonts w:ascii="Times New Roman;serif" w:hAnsi="Times New Roman;serif"/>
          <w:b w:val="false"/>
          <w:color w:val="000000"/>
          <w:sz w:val="24"/>
        </w:rPr>
        <w:t xml:space="preserve">. The indemnity and contribution agreements contained in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of this Agreement and all representations and warranties of the Company herein or in certificates delivered pursuant hereto shall survive, as of their respective dates, regardless of (i) any investigation made by or on behalf of TD Cowen, any controlling persons, or the Company (or any of their respective officers, directors or controlling persons), (ii) delivery and acceptance of the Placement Shares and payment therefor or (iii) any termination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(a) </w:t>
      </w:r>
      <w:r>
        <w:rPr>
          <w:color w:val="000000"/>
        </w:rPr>
        <w:t>    </w:t>
      </w:r>
      <w:r>
        <w:rPr>
          <w:rFonts w:ascii="Times New Roman;serif" w:hAnsi="Times New Roman;serif"/>
          <w:b w:val="false"/>
          <w:color w:val="000000"/>
          <w:sz w:val="24"/>
        </w:rPr>
        <w:t xml:space="preserve">TD Cowen shall have the right by giving notice as hereinafter specified at any time to terminate this Agreement if (i) any Material Adverse Change, or any development that could reasonably be expected to result in a Material Adverse Change has occurred that, in the reasonable judgment of TD Cowen, materially impairs the ability of TD Cowen to sell the Placement Shares hereunder, (ii) the Company shall have failed, refused or been unable to perform any agreement on its part to be performed hereunder, or (iii) any other condition of TD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serif" w:hAnsi="Times New Roman;serif"/>
          <w:b w:val="false"/>
          <w:color w:val="000000"/>
          <w:sz w:val="24"/>
          <w:u w:val="single"/>
        </w:rPr>
        <w:t>Section 7(g)</w:t>
      </w:r>
      <w:r>
        <w:rPr>
          <w:color w:val="000000"/>
        </w:rPr>
        <w:t xml:space="preserve"> </w:t>
      </w:r>
      <w:r>
        <w:rPr>
          <w:rFonts w:ascii="Times New Roman;serif" w:hAnsi="Times New Roman;serif"/>
          <w:b w:val="false"/>
          <w:color w:val="000000"/>
          <w:sz w:val="24"/>
        </w:rPr>
        <w:t xml:space="preserve">(Expenses),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(Indemnification and Contribution),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(Representations and Agreements to Survive Delivery), </w:t>
      </w:r>
      <w:r>
        <w:rPr>
          <w:rFonts w:ascii="Times New Roman;serif" w:hAnsi="Times New Roman;serif"/>
          <w:b w:val="false"/>
          <w:color w:val="000000"/>
          <w:sz w:val="24"/>
          <w:u w:val="single"/>
        </w:rPr>
        <w:t>Section 16</w:t>
      </w:r>
      <w:r>
        <w:rPr>
          <w:color w:val="000000"/>
        </w:rPr>
        <w:t xml:space="preserve"> </w:t>
      </w:r>
      <w:r>
        <w:rPr>
          <w:rFonts w:ascii="Times New Roman;serif" w:hAnsi="Times New Roman;serif"/>
          <w:b w:val="false"/>
          <w:color w:val="000000"/>
          <w:sz w:val="24"/>
        </w:rPr>
        <w:t xml:space="preserve">(Applicable Law; Consent to Jurisdiction) and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 xml:space="preserve">(Waiver of Jury Trial) hereof shall remain in full force and effect notwithstanding such termination. If TD Cowen elects to terminate this Agreement as provided in this </w:t>
      </w:r>
      <w:r>
        <w:rPr>
          <w:rFonts w:ascii="Times New Roman;serif" w:hAnsi="Times New Roman;serif"/>
          <w:b w:val="false"/>
          <w:color w:val="000000"/>
          <w:sz w:val="24"/>
          <w:u w:val="single"/>
        </w:rPr>
        <w:t>Section 11(a)</w:t>
      </w:r>
      <w:r>
        <w:rPr>
          <w:rFonts w:ascii="Times New Roman;serif" w:hAnsi="Times New Roman;serif"/>
          <w:b w:val="false"/>
          <w:color w:val="000000"/>
          <w:sz w:val="24"/>
        </w:rPr>
        <w:t xml:space="preserve">, TD Cowen shall provide the required notice as specified in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(Notices).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 </w:t>
      </w:r>
      <w:r>
        <w:rPr>
          <w:color w:val="000000"/>
        </w:rPr>
        <w:t>    </w:t>
      </w:r>
      <w:r>
        <w:rPr>
          <w:rFonts w:ascii="Times New Roman;serif" w:hAnsi="Times New Roman;serif"/>
          <w:b w:val="false"/>
          <w:color w:val="000000"/>
          <w:sz w:val="24"/>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serif" w:hAnsi="Times New Roman;serif"/>
          <w:b w:val="false"/>
          <w:color w:val="000000"/>
          <w:sz w:val="24"/>
          <w:u w:val="single"/>
        </w:rPr>
        <w:t>Section 7(g)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hereof shall remain in full force and effect notwithstanding such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(c) </w:t>
      </w:r>
      <w:r>
        <w:rPr>
          <w:color w:val="000000"/>
        </w:rPr>
        <w:t>    </w:t>
      </w:r>
      <w:r>
        <w:rPr>
          <w:rFonts w:ascii="Times New Roman;serif" w:hAnsi="Times New Roman;serif"/>
          <w:b w:val="false"/>
          <w:color w:val="000000"/>
          <w:sz w:val="24"/>
        </w:rPr>
        <w:t xml:space="preserve">TD 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serif" w:hAnsi="Times New Roman;serif"/>
          <w:b w:val="false"/>
          <w:color w:val="000000"/>
          <w:sz w:val="24"/>
          <w:u w:val="single"/>
        </w:rPr>
        <w:t>Section 7(g)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hereof shall remain in full force and effect notwithstanding such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(d) </w:t>
      </w:r>
      <w:r>
        <w:rPr>
          <w:color w:val="000000"/>
        </w:rPr>
        <w:t>    </w:t>
      </w:r>
      <w:r>
        <w:rPr>
          <w:rFonts w:ascii="Times New Roman;serif" w:hAnsi="Times New Roman;serif"/>
          <w:b w:val="false"/>
          <w:color w:val="000000"/>
          <w:sz w:val="24"/>
        </w:rPr>
        <w:t xml:space="preserve">Unless earlier terminated pursuant to this </w:t>
      </w: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this Agreement shall automatically terminate upon the issuance and sale of all of the Placement Shares through TD </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31"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Cowen on the terms and subject to the conditions set forth herein;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provisions of </w:t>
      </w:r>
      <w:r>
        <w:rPr>
          <w:rFonts w:ascii="Times New Roman;serif" w:hAnsi="Times New Roman;serif"/>
          <w:b w:val="false"/>
          <w:color w:val="000000"/>
          <w:sz w:val="24"/>
          <w:u w:val="single"/>
        </w:rPr>
        <w:t>Section 7(g)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hereof shall remain in full force and effect notwithstanding such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(e) </w:t>
      </w:r>
      <w:r>
        <w:rPr>
          <w:color w:val="000000"/>
        </w:rPr>
        <w:t>    </w:t>
      </w:r>
      <w:r>
        <w:rPr>
          <w:rFonts w:ascii="Times New Roman;serif" w:hAnsi="Times New Roman;serif"/>
          <w:b w:val="false"/>
          <w:color w:val="000000"/>
          <w:sz w:val="24"/>
        </w:rPr>
        <w:t xml:space="preserve">This Agreement shall remain in full force and effect unless terminated pursuant to </w:t>
      </w:r>
      <w:r>
        <w:rPr>
          <w:rFonts w:ascii="Times New Roman;serif" w:hAnsi="Times New Roman;serif"/>
          <w:b w:val="false"/>
          <w:color w:val="000000"/>
          <w:sz w:val="24"/>
          <w:u w:val="single"/>
        </w:rPr>
        <w:t>Sections 11(a)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 or (d)</w:t>
      </w:r>
      <w:r>
        <w:rPr>
          <w:color w:val="000000"/>
        </w:rPr>
        <w:t xml:space="preserve"> </w:t>
      </w:r>
      <w:r>
        <w:rPr>
          <w:rFonts w:ascii="Times New Roman;serif" w:hAnsi="Times New Roman;serif"/>
          <w:b w:val="false"/>
          <w:color w:val="000000"/>
          <w:sz w:val="24"/>
        </w:rPr>
        <w:t xml:space="preserve">above or otherwise by mutual agreement of the parties;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 xml:space="preserve">that any such termination by mutual agreement shall in all cases be deemed to provide that </w:t>
      </w:r>
      <w:r>
        <w:rPr>
          <w:rFonts w:ascii="Times New Roman;serif" w:hAnsi="Times New Roman;serif"/>
          <w:b w:val="false"/>
          <w:color w:val="000000"/>
          <w:sz w:val="24"/>
          <w:u w:val="single"/>
        </w:rPr>
        <w:t>Section 7(g)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shall remain in full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(f) </w:t>
      </w:r>
      <w:r>
        <w:rPr>
          <w:color w:val="000000"/>
        </w:rPr>
        <w:t>    </w:t>
      </w:r>
      <w:r>
        <w:rPr>
          <w:rFonts w:ascii="Times New Roman;serif" w:hAnsi="Times New Roman;serif"/>
          <w:b w:val="false"/>
          <w:color w:val="000000"/>
          <w:sz w:val="24"/>
        </w:rPr>
        <w:t xml:space="preserve">Any termination of this Agreement shall be effective on the date specified in such notice of termination;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such termination shall not be effective until the close of business on the date of receipt of such notice by TD Cowen or the Company, as the case may be. If such termination shall occur prior to the Settlement Date for any sale of Placement Shares, such Placement Shares shall settle in accordance with the provisions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or other communications required or permitted to be given by any party to any other party pursuant to the terms of this Agreement shall be in writing, unless otherwise specified in this Agreement, and if sent to TD Cowen, shall be delivered to TD Cowen at TD Securities (USA) LLC, 1 Vanderbilt Avenue, New York, NY 10017, attention: ECM ATM Execution team, email: atm-team@tdsecurities.com, with a copy to CIBLegal@tdsecurities.com; or if sent to the Company, shall be delivered to the address of the Company as set forth in the Registration Statement, attention: General Counsel, email: mattm@nautilus.bio, with a copy (which shall not constitute notice) to Wilson Sonsini Goodrich &amp; Rosati, P.C., attention: Zachary Myers, email: zmyers@wsgr.com.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(iii) on the Business</w:t>
      </w:r>
      <w:r>
        <w:rPr>
          <w:color w:val="000000"/>
        </w:rPr>
        <w:t xml:space="preserve"> </w:t>
      </w:r>
      <w:r>
        <w:rPr>
          <w:rFonts w:ascii="Times New Roman;serif" w:hAnsi="Times New Roman;serif"/>
          <w:b w:val="false"/>
          <w:color w:val="000000"/>
          <w:sz w:val="24"/>
        </w:rPr>
        <w:t>Day actually received if deposited in the U.S. mail (certified or registered mail, return receipt requested, postage prepaid) and (iv) when delivered by electronic communication (“</w:t>
      </w:r>
      <w:r>
        <w:rPr>
          <w:rFonts w:ascii="Times New Roman;serif" w:hAnsi="Times New Roman;serif"/>
          <w:b/>
          <w:color w:val="000000"/>
          <w:sz w:val="24"/>
          <w:u w:val="single"/>
        </w:rPr>
        <w:t>Electronic Notice</w:t>
      </w:r>
      <w:r>
        <w:rPr>
          <w:color w:val="000000"/>
        </w:rPr>
        <w:t>”</w:t>
      </w:r>
      <w:r>
        <w:rPr>
          <w:rFonts w:ascii="Times New Roman;serif" w:hAnsi="Times New Roman;serif"/>
          <w:b w:val="false"/>
          <w:color w:val="000000"/>
          <w:sz w:val="24"/>
        </w:rPr>
        <w:t>), at the time the party sending Electronic Notice receives verification of receipt by the receiving party, other than via auto-reply. For purposes of this Agreement, “</w:t>
      </w:r>
      <w:r>
        <w:rPr>
          <w:rFonts w:ascii="Times New Roman;serif" w:hAnsi="Times New Roman;serif"/>
          <w:b/>
          <w:color w:val="000000"/>
          <w:sz w:val="24"/>
          <w:u w:val="single"/>
        </w:rPr>
        <w:t>Business Day</w:t>
      </w:r>
      <w:r>
        <w:rPr>
          <w:color w:val="000000"/>
        </w:rPr>
        <w:t xml:space="preserve">” </w:t>
      </w:r>
      <w:r>
        <w:rPr>
          <w:rFonts w:ascii="Times New Roman;serif" w:hAnsi="Times New Roman;serif"/>
          <w:b w:val="false"/>
          <w:color w:val="000000"/>
          <w:sz w:val="24"/>
        </w:rPr>
        <w:t>shall mean any day on which the Nasdaq and commercial banks in the City of New York are open for business.</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xml:space="preserve">. This Agreement shall inure to the benefit of and be binding upon the Company and TD Cowen and their respective successors and the affiliates, controlling persons, officers and directors referred to in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TD Cowen may assign its rights and obligations hereunder to an affiliate of TD Cowen without obtaining the Company’s consent.</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32" name="Frame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Adjustments for Share Splits</w:t>
      </w:r>
      <w:r>
        <w:rPr>
          <w:rFonts w:ascii="Times New Roman;serif" w:hAnsi="Times New Roman;serif"/>
          <w:b w:val="false"/>
          <w:color w:val="000000"/>
          <w:sz w:val="24"/>
        </w:rPr>
        <w:t>. The parties acknowledge and agree that all share-related numbers contained in this Agreement shall be adjusted to take into account any share split, share dividend or similar event effected with respect to the Common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Entire Agreement; Amendment; Severability</w:t>
      </w:r>
      <w:r>
        <w:rPr>
          <w:rFonts w:ascii="Times New Roman;serif" w:hAnsi="Times New Roman;serif"/>
          <w:b w:val="false"/>
          <w:color w:val="000000"/>
          <w:sz w:val="24"/>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Except as provided in Section 12, neither this Agreement nor any term hereof may be amended except pursuant to a written instrument executed by the Company and TD Cowen; </w:t>
      </w:r>
      <w:r>
        <w:rPr>
          <w:rFonts w:ascii="Times New Roman;serif" w:hAnsi="Times New Roman;serif"/>
          <w:b w:val="false"/>
          <w:i/>
          <w:color w:val="000000"/>
          <w:sz w:val="24"/>
        </w:rPr>
        <w:t>provided</w:t>
      </w:r>
      <w:r>
        <w:rPr>
          <w:rFonts w:ascii="Times New Roman;serif" w:hAnsi="Times New Roman;serif"/>
          <w:b w:val="false"/>
          <w:color w:val="000000"/>
          <w:sz w:val="24"/>
        </w:rPr>
        <w:t>, that each party hereto may amend the list of individuals appearing under such party’s name on Schedule 2 by giving notice to the other party hereto.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Applicable Law; Consent to Jurisdiction</w:t>
      </w:r>
      <w:r>
        <w:rPr>
          <w:rFonts w:ascii="Times New Roman;serif" w:hAnsi="Times New Roman;serif"/>
          <w:b w:val="false"/>
          <w:color w:val="000000"/>
          <w:sz w:val="24"/>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The Company and TD Cowen each hereby irrevocably waives any right it may have to a trial by jury in respect of any claim based upon or arising out of this Agreement or any transaction contemplated hereby.</w:t>
      </w:r>
    </w:p>
    <w:p>
      <w:pPr>
        <w:pStyle w:val="TextBody"/>
        <w:bidi w:val="0"/>
        <w:spacing w:lineRule="auto" w:line="240" w:before="0" w:after="240"/>
        <w:ind w:left="0" w:right="0" w:firstLine="72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Absence of Fiduciary Relationship</w:t>
      </w:r>
      <w:r>
        <w:rPr>
          <w:rFonts w:ascii="Times New Roman;serif" w:hAnsi="Times New Roman;serif"/>
          <w:b w:val="false"/>
          <w:i/>
          <w:color w:val="000000"/>
          <w:sz w:val="24"/>
        </w:rPr>
        <w:t xml:space="preserve">. </w:t>
      </w:r>
      <w:r>
        <w:rPr>
          <w:rFonts w:ascii="Times New Roman;serif" w:hAnsi="Times New Roman;serif"/>
          <w:b w:val="false"/>
          <w:color w:val="000000"/>
          <w:sz w:val="24"/>
        </w:rPr>
        <w:t>The Company acknowledges and agrees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(a) </w:t>
      </w:r>
      <w:r>
        <w:rPr>
          <w:color w:val="000000"/>
        </w:rPr>
        <w:t>    </w:t>
      </w:r>
      <w:r>
        <w:rPr>
          <w:rFonts w:ascii="Times New Roman;serif" w:hAnsi="Times New Roman;serif"/>
          <w:b w:val="false"/>
          <w:color w:val="000000"/>
          <w:sz w:val="24"/>
        </w:rPr>
        <w:t>TD Cowen has been retained solely to act as an arm’s length contractual counterparty to the Company in connection with the sale of the Placement Shares contemplated hereby and that no fiduciary, advisory or agency relationship between the Company and TD Cowen has been created in respect of any of the transactions contemplated by this Agreement, irrespective of whether TD Cowen has advised or is advising the Company on other matters;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(b) </w:t>
      </w:r>
      <w:r>
        <w:rPr>
          <w:color w:val="000000"/>
        </w:rPr>
        <w:t>    </w:t>
      </w:r>
      <w:r>
        <w:rPr>
          <w:rFonts w:ascii="Times New Roman;serif" w:hAnsi="Times New Roman;serif"/>
          <w:b w:val="false"/>
          <w:color w:val="000000"/>
          <w:sz w:val="24"/>
        </w:rPr>
        <w:t>the Company is capable of evaluating and understanding and understands and accepts the terms, risks and conditions of the transactions contemplated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 </w:t>
      </w:r>
      <w:r>
        <w:rPr>
          <w:color w:val="000000"/>
        </w:rPr>
        <w:t>    </w:t>
      </w:r>
      <w:r>
        <w:rPr>
          <w:rFonts w:ascii="Times New Roman;serif" w:hAnsi="Times New Roman;serif"/>
          <w:b w:val="false"/>
          <w:color w:val="000000"/>
          <w:sz w:val="24"/>
        </w:rPr>
        <w:t>the Company has been advised that TD Cowen and its affiliates are engaged in a broad range of transactions which may involve interests that differ from those of the Company and that TD Cowen has no obligation to disclose such interests and transactions to the Company by virtue of any fiduciary, advisory or agency relationship; and</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33"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 </w:t>
      </w:r>
      <w:r>
        <w:rPr>
          <w:color w:val="000000"/>
        </w:rPr>
        <w:t>    </w:t>
      </w:r>
      <w:r>
        <w:rPr>
          <w:rFonts w:ascii="Times New Roman;serif" w:hAnsi="Times New Roman;serif"/>
          <w:b w:val="false"/>
          <w:color w:val="000000"/>
          <w:sz w:val="24"/>
        </w:rPr>
        <w:t>the Company waives, to the fullest extent permitted by law, any claims it may have against TD Cowen, for breach of fiduciary duty or alleged breach of fiduciary duty and agrees that TD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(including pdf or any electronic signature complying with the U.S. federal ESIGN Act of 2000 (including, but not limited to, www.docusign.com or www.echosign.com)) or other transmission method and any counterpart so delivered shall be deemed to have been duly and validly delivered and be valid and effective for all purposes.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Recognition of the U.S. Special Resolution Regimes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 </w:t>
      </w:r>
      <w:r>
        <w:rPr>
          <w:color w:val="000000"/>
        </w:rPr>
        <w:t>    </w:t>
      </w:r>
      <w:r>
        <w:rPr>
          <w:rFonts w:ascii="Times New Roman;serif" w:hAnsi="Times New Roman;serif"/>
          <w:b w:val="false"/>
          <w:color w:val="000000"/>
          <w:sz w:val="24"/>
        </w:rPr>
        <w:t>In the event that TD Cowen is a Covered Entity and becomes subject to a proceeding under a U.S. Special Resolution Regime,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 </w:t>
      </w:r>
      <w:r>
        <w:rPr>
          <w:color w:val="000000"/>
        </w:rPr>
        <w:t>    </w:t>
      </w:r>
      <w:r>
        <w:rPr>
          <w:rFonts w:ascii="Times New Roman;serif" w:hAnsi="Times New Roman;serif"/>
          <w:b w:val="false"/>
          <w:color w:val="000000"/>
          <w:sz w:val="24"/>
        </w:rPr>
        <w:t>In the event that TD Cowen is a Covered Entity and TD Cowen or a BHC Act Affiliate of TD Cowen becomes subject to a proceeding under a U.S. Special Resolution Regime, Default Rights under this Agreement that may be exercised against TD Cowen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 </w:t>
      </w:r>
      <w:r>
        <w:rPr>
          <w:color w:val="000000"/>
        </w:rPr>
        <w:t>    </w:t>
      </w:r>
      <w:r>
        <w:rPr>
          <w:rFonts w:ascii="Times New Roman;serif" w:hAnsi="Times New Roman;serif"/>
          <w:b w:val="false"/>
          <w:color w:val="000000"/>
          <w:sz w:val="24"/>
        </w:rPr>
        <w:t>For purposes of this Section 20: (a) “</w:t>
      </w:r>
      <w:r>
        <w:rPr>
          <w:rFonts w:ascii="Times New Roman;serif" w:hAnsi="Times New Roman;serif"/>
          <w:b/>
          <w:color w:val="000000"/>
          <w:sz w:val="24"/>
          <w:u w:val="single"/>
        </w:rPr>
        <w:t>BHC Act Affiliate</w:t>
      </w:r>
      <w:r>
        <w:rPr>
          <w:color w:val="000000"/>
        </w:rPr>
        <w:t xml:space="preserve">” </w:t>
      </w:r>
      <w:r>
        <w:rPr>
          <w:rFonts w:ascii="Times New Roman;serif" w:hAnsi="Times New Roman;serif"/>
          <w:b w:val="false"/>
          <w:color w:val="000000"/>
          <w:sz w:val="24"/>
        </w:rPr>
        <w:t>has the meaning assigned to the term “affiliate” in, and shall be interpreted in accordance with, 12 U.S.C. § 1841(k), (b) “</w:t>
      </w:r>
      <w:r>
        <w:rPr>
          <w:rFonts w:ascii="Times New Roman;serif" w:hAnsi="Times New Roman;serif"/>
          <w:b/>
          <w:color w:val="000000"/>
          <w:sz w:val="24"/>
          <w:u w:val="single"/>
        </w:rPr>
        <w:t>Covered Entity</w:t>
      </w:r>
      <w:r>
        <w:rPr>
          <w:color w:val="000000"/>
        </w:rPr>
        <w:t xml:space="preserve">” </w:t>
      </w:r>
      <w:r>
        <w:rPr>
          <w:rFonts w:ascii="Times New Roman;serif" w:hAnsi="Times New Roman;serif"/>
          <w:b w:val="false"/>
          <w:color w:val="000000"/>
          <w:sz w:val="24"/>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serif" w:hAnsi="Times New Roman;serif"/>
          <w:b/>
          <w:color w:val="000000"/>
          <w:sz w:val="24"/>
          <w:u w:val="single"/>
        </w:rPr>
        <w:t>Default Right</w:t>
      </w:r>
      <w:r>
        <w:rPr>
          <w:color w:val="000000"/>
        </w:rPr>
        <w:t xml:space="preserve">” </w:t>
      </w:r>
      <w:r>
        <w:rPr>
          <w:rFonts w:ascii="Times New Roman;serif" w:hAnsi="Times New Roman;serif"/>
          <w:b w:val="false"/>
          <w:color w:val="000000"/>
          <w:sz w:val="24"/>
        </w:rPr>
        <w:t>has the meaning assigned to that term in, and shall be interpreted in accordance with, 12 C.F.R. §§ 252.81, 47.2 or 382.1, as applicable, and (d) “</w:t>
      </w:r>
      <w:r>
        <w:rPr>
          <w:rFonts w:ascii="Times New Roman;serif" w:hAnsi="Times New Roman;serif"/>
          <w:b/>
          <w:color w:val="000000"/>
          <w:sz w:val="24"/>
          <w:u w:val="single"/>
        </w:rPr>
        <w:t>U.S. Special Resolution Regime</w:t>
      </w:r>
      <w:r>
        <w:rPr>
          <w:color w:val="000000"/>
        </w:rPr>
        <w:t xml:space="preserve">” </w:t>
      </w:r>
      <w:r>
        <w:rPr>
          <w:rFonts w:ascii="Times New Roman;serif" w:hAnsi="Times New Roman;serif"/>
          <w:b w:val="false"/>
          <w:color w:val="000000"/>
          <w:sz w:val="24"/>
        </w:rPr>
        <w:t>means each of (i) the Federal Deposit Insurance Act and the regulations promulgated thereunder and (ii) Title II of the Dodd-Frank Wall Street Reform and Consumer Protection Act and the regulations promulgated thereunder.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Prior Sales Agreement</w:t>
      </w:r>
      <w:r>
        <w:rPr>
          <w:rFonts w:ascii="Times New Roman;serif" w:hAnsi="Times New Roman;serif"/>
          <w:b w:val="false"/>
          <w:color w:val="000000"/>
          <w:sz w:val="24"/>
        </w:rPr>
        <w:t xml:space="preserve">. Upon the parties’ execution of this Agreement, that certain Sales Agreement by and between the Company and TD Cowen dated February 24, 2024 and any side agreements thereto are concurrently terminated in accordance with their terms and any applicable notice provisions thereof are hereby waived.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[Remainder of Page Intentionally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34"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 foregoing correctly sets forth the understanding between the Company and TD Cowen, please so indicate in the space provided below for that purpose, whereupon this letter shall constitute a binding agreement between the Company and TD Cowen. </w:t>
      </w:r>
    </w:p>
    <w:tbl>
      <w:tblPr>
        <w:tblW w:w="5242" w:type="dxa"/>
        <w:jc w:val="left"/>
        <w:tblInd w:w="0" w:type="dxa"/>
        <w:tblLayout w:type="fixed"/>
        <w:tblCellMar>
          <w:top w:w="28" w:type="dxa"/>
          <w:left w:w="28" w:type="dxa"/>
          <w:bottom w:w="28" w:type="dxa"/>
          <w:right w:w="28" w:type="dxa"/>
        </w:tblCellMar>
      </w:tblPr>
      <w:tblGrid>
        <w:gridCol w:w="260"/>
        <w:gridCol w:w="228"/>
        <w:gridCol w:w="228"/>
        <w:gridCol w:w="228"/>
        <w:gridCol w:w="228"/>
        <w:gridCol w:w="228"/>
        <w:gridCol w:w="819"/>
        <w:gridCol w:w="819"/>
        <w:gridCol w:w="821"/>
        <w:gridCol w:w="228"/>
        <w:gridCol w:w="228"/>
        <w:gridCol w:w="228"/>
        <w:gridCol w:w="109"/>
        <w:gridCol w:w="109"/>
        <w:gridCol w:w="109"/>
        <w:gridCol w:w="109"/>
        <w:gridCol w:w="109"/>
        <w:gridCol w:w="154"/>
      </w:tblGrid>
      <w:tr>
        <w:trPr/>
        <w:tc>
          <w:tcPr>
            <w:tcW w:w="2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TD Securities (USA)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Michael Murphy</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Michael Murphy</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ACCEPTED as of the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first-above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NAUTILUS BIOTECHNOLOGY,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Sujal Patel</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Sujal Patel</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Sales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Sales Agreement</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u w:val="single"/>
        </w:rPr>
      </w:pPr>
      <w:r>
        <w:rPr>
          <w:rFonts w:ascii="Times New Roman;serif" w:hAnsi="Times New Roman;serif"/>
          <w:b/>
          <w:color w:val="000000"/>
          <w:sz w:val="24"/>
          <w:u w:val="single"/>
        </w:rPr>
        <w:t>SCHEDULE 1</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FORM OF PLACEMENT NOTICE</w:t>
      </w:r>
    </w:p>
    <w:p>
      <w:pPr>
        <w:pStyle w:val="TextBody"/>
        <w:bidi w:val="0"/>
        <w:spacing w:before="0" w:after="240"/>
        <w:jc w:val="center"/>
        <w:rPr/>
      </w:pPr>
      <w:r>
        <w:rPr/>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From:    [                                  ]</w:t>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Cc:    [                                  ]</w:t>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To:     [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Subject:     TD Cowen At the Market Offering—Placement Notice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Gentlemen:</w:t>
      </w:r>
    </w:p>
    <w:p>
      <w:pPr>
        <w:pStyle w:val="TextBody"/>
        <w:bidi w:val="0"/>
        <w:spacing w:lineRule="auto" w:line="288" w:before="0" w:after="240"/>
        <w:jc w:val="both"/>
        <w:rPr/>
      </w:pPr>
      <w:r>
        <w:rPr>
          <w:rFonts w:ascii="Times New Roman;serif" w:hAnsi="Times New Roman;serif"/>
          <w:b w:val="false"/>
          <w:color w:val="000000"/>
          <w:sz w:val="24"/>
        </w:rPr>
        <w:t>Pursuant to the terms and subject to the conditions contained in the Sales Agreement between Nautilus Biotechnology,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TD Securities (USA) LLC (“</w:t>
      </w:r>
      <w:r>
        <w:rPr>
          <w:rFonts w:ascii="Times New Roman;serif" w:hAnsi="Times New Roman;serif"/>
          <w:b w:val="false"/>
          <w:color w:val="000000"/>
          <w:sz w:val="24"/>
          <w:u w:val="single"/>
        </w:rPr>
        <w:t>TD Cowen</w:t>
      </w:r>
      <w:r>
        <w:rPr>
          <w:color w:val="000000"/>
        </w:rPr>
        <w:t>”</w:t>
      </w:r>
      <w:r>
        <w:rPr>
          <w:rFonts w:ascii="Times New Roman;serif" w:hAnsi="Times New Roman;serif"/>
          <w:b w:val="false"/>
          <w:color w:val="000000"/>
          <w:sz w:val="24"/>
        </w:rPr>
        <w:t>), dated September 11, 2026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 hereby request on behalf of the Company that TD Cowen sell up to [●] shares of the Company’s common stock, par value $0.0001 per share, at a minimum market price of $[●] per share. Sales should begin on the date of this Notice and shall continue until [DATE] [all shares are sold].</w:t>
      </w:r>
    </w:p>
    <w:p>
      <w:pPr>
        <w:pStyle w:val="TextBody"/>
        <w:bidi w:val="0"/>
        <w:spacing w:before="0" w:after="24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u w:val="single"/>
        </w:rPr>
      </w:pPr>
      <w:r>
        <w:rPr>
          <w:rFonts w:ascii="Times New Roman;serif" w:hAnsi="Times New Roman;serif"/>
          <w:b/>
          <w:color w:val="000000"/>
          <w:sz w:val="24"/>
          <w:u w:val="single"/>
        </w:rPr>
        <w:t>SCHEDULE 2</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Notice Parties</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Sujal Patel        Chief Executive Officer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Anna Mowry        Chief Financial Officer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CC: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Matthew Murphy    General Counsel</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TD Cowen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Michael J. Murphy    Managing Director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William Follis        Managing Director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Adriano Pierroz    Director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Megan Sanford    Associate</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u w:val="single"/>
        </w:rPr>
      </w:pPr>
      <w:r>
        <w:rPr>
          <w:rFonts w:ascii="Times New Roman;serif" w:hAnsi="Times New Roman;serif"/>
          <w:b/>
          <w:color w:val="000000"/>
          <w:sz w:val="24"/>
          <w:u w:val="single"/>
        </w:rPr>
        <w:t>SCHEDULE 3</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Compensation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TD Cowen shall be paid compensation up to 3.0% of the gross proceeds from the sales of Common Stock pursuant to the terms of this Agreement.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88" w:before="0" w:after="0"/>
        <w:jc w:val="right"/>
        <w:rPr>
          <w:rFonts w:ascii="Times New Roman;serif" w:hAnsi="Times New Roman;serif"/>
          <w:b/>
          <w:color w:val="000000"/>
          <w:sz w:val="24"/>
          <w:u w:val="single"/>
        </w:rPr>
      </w:pPr>
      <w:r>
        <w:rPr>
          <w:rFonts w:ascii="Times New Roman;serif" w:hAnsi="Times New Roman;serif"/>
          <w:b/>
          <w:color w:val="000000"/>
          <w:sz w:val="24"/>
          <w:u w:val="single"/>
        </w:rPr>
        <w:t xml:space="preserve">Exhibit 7(m)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OFFICER’S CERTIFICATE</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The undersigned, the duly qualified and elected [●] of Nautilus Biotechnology, Inc., a Delaware corporation (the “</w:t>
      </w:r>
      <w:r>
        <w:rPr>
          <w:rFonts w:ascii="Times New Roman;serif" w:hAnsi="Times New Roman;serif"/>
          <w:b/>
          <w:color w:val="000000"/>
          <w:sz w:val="24"/>
          <w:u w:val="single"/>
        </w:rPr>
        <w:t>Company</w:t>
      </w:r>
      <w:r>
        <w:rPr>
          <w:color w:val="000000"/>
        </w:rPr>
        <w:t>”</w:t>
      </w:r>
      <w:r>
        <w:rPr>
          <w:rFonts w:ascii="Times New Roman;serif" w:hAnsi="Times New Roman;serif"/>
          <w:b w:val="false"/>
          <w:color w:val="000000"/>
          <w:sz w:val="24"/>
        </w:rPr>
        <w:t xml:space="preserve">), does hereby certify in such capacity and on behalf of the Company (and not in the undersigned’s individual capacity), pursuant to </w:t>
      </w:r>
      <w:r>
        <w:rPr>
          <w:rFonts w:ascii="Times New Roman;serif" w:hAnsi="Times New Roman;serif"/>
          <w:b w:val="false"/>
          <w:color w:val="000000"/>
          <w:sz w:val="24"/>
          <w:u w:val="single"/>
        </w:rPr>
        <w:t>Section 7(m)</w:t>
      </w:r>
      <w:r>
        <w:rPr>
          <w:color w:val="000000"/>
        </w:rPr>
        <w:t xml:space="preserve"> </w:t>
      </w:r>
      <w:r>
        <w:rPr>
          <w:rFonts w:ascii="Times New Roman;serif" w:hAnsi="Times New Roman;serif"/>
          <w:b w:val="false"/>
          <w:color w:val="000000"/>
          <w:sz w:val="24"/>
        </w:rPr>
        <w:t>of the Sales Agreement dated September 11, 2026 (the “</w:t>
      </w:r>
      <w:r>
        <w:rPr>
          <w:rFonts w:ascii="Times New Roman;serif" w:hAnsi="Times New Roman;serif"/>
          <w:b/>
          <w:color w:val="000000"/>
          <w:sz w:val="24"/>
          <w:u w:val="single"/>
        </w:rPr>
        <w:t>Sales Agreement</w:t>
      </w:r>
      <w:r>
        <w:rPr>
          <w:color w:val="000000"/>
        </w:rPr>
        <w:t>”</w:t>
      </w:r>
      <w:r>
        <w:rPr>
          <w:rFonts w:ascii="Times New Roman;serif" w:hAnsi="Times New Roman;serif"/>
          <w:b w:val="false"/>
          <w:color w:val="000000"/>
          <w:sz w:val="24"/>
        </w:rPr>
        <w:t>), by and between the Company and TD Securities (USA) LLC, that to the best of the knowledge of the undersigned:</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The representations and warranties of the Company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Company has complied with all agreements and satisfied all conditions on its part to be performed or satisfied pursuant to the Sales Agreement at or prior to the date 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Wilson Sonsini Goodrich &amp; Rosati, P.C., and Goodwin Procter LLP are entitled to rely upon this certificate in connection with the respective opinions given by such firms pursuant to the Sales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but not defined herein shall have the respective meanings set forth in the Sales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Date:</w:t>
      </w:r>
      <w:r>
        <w:rPr>
          <w:color w:val="000000"/>
          <w:u w:val="singl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21753</Words>
  <Characters>113805</Characters>
  <CharactersWithSpaces>135887</CharactersWithSpaces>
  <Paragraphs>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