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filed with the Securities and Exchange Commission on September 11, 2026</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S-3</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REGISTRATION STATEMENT</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UNDER</w:t>
      </w:r>
    </w:p>
    <w:p>
      <w:pPr>
        <w:pStyle w:val="TextBody"/>
        <w:bidi w:val="0"/>
        <w:spacing w:lineRule="auto" w:line="288" w:before="0" w:after="60"/>
        <w:jc w:val="center"/>
        <w:rPr>
          <w:rFonts w:ascii="Times New Roman;serif" w:hAnsi="Times New Roman;serif"/>
          <w:b/>
          <w:i/>
          <w:color w:val="000000"/>
          <w:sz w:val="22"/>
        </w:rPr>
      </w:pPr>
      <w:r>
        <w:rPr>
          <w:rFonts w:ascii="Times New Roman;serif" w:hAnsi="Times New Roman;serif"/>
          <w:b/>
          <w:i/>
          <w:color w:val="000000"/>
          <w:sz w:val="22"/>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Nautilus Biotechnology, Inc.</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05" w:type="dxa"/>
        <w:jc w:val="left"/>
        <w:tblInd w:w="0" w:type="dxa"/>
        <w:tblLayout w:type="fixed"/>
        <w:tblCellMar>
          <w:top w:w="28" w:type="dxa"/>
          <w:left w:w="28" w:type="dxa"/>
          <w:bottom w:w="28" w:type="dxa"/>
          <w:right w:w="28" w:type="dxa"/>
        </w:tblCellMar>
      </w:tblPr>
      <w:tblGrid>
        <w:gridCol w:w="807"/>
        <w:gridCol w:w="711"/>
        <w:gridCol w:w="717"/>
        <w:gridCol w:w="516"/>
        <w:gridCol w:w="516"/>
        <w:gridCol w:w="738"/>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98-1541723</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w:t>
              <w:br/>
              <w:t>incorporation or organization)</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Number)</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2701 Eastlake Avenue East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Seattle, Washington 98102</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(206) 333-2001</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(Address, including zip code, and telephone number, including area code, of registrant’s principal executive offices)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Sujal Patel</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Chief Executive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2701 Eastlake Avenue East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Seattle, Washington 98102</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(206) 333-2001</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(Name, address, including zip code, and telephone number, including area code, of agent for service)</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Copies to:</w:t>
      </w:r>
    </w:p>
    <w:tbl>
      <w:tblPr>
        <w:tblW w:w="7123" w:type="dxa"/>
        <w:jc w:val="left"/>
        <w:tblInd w:w="0" w:type="dxa"/>
        <w:tblLayout w:type="fixed"/>
        <w:tblCellMar>
          <w:top w:w="28" w:type="dxa"/>
          <w:left w:w="28" w:type="dxa"/>
          <w:bottom w:w="28" w:type="dxa"/>
          <w:right w:w="28" w:type="dxa"/>
        </w:tblCellMar>
      </w:tblPr>
      <w:tblGrid>
        <w:gridCol w:w="1736"/>
        <w:gridCol w:w="1527"/>
        <w:gridCol w:w="1536"/>
        <w:gridCol w:w="679"/>
        <w:gridCol w:w="679"/>
        <w:gridCol w:w="966"/>
      </w:tblGrid>
      <w:tr>
        <w:trPr/>
        <w:tc>
          <w:tcPr>
            <w:tcW w:w="1736"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Zachary B. Myers</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Ben Capps</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Victor T. Nilsson</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Wilson Sonsini Goodrich &amp; Rosati, Professional Corporation</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650 Page Mill Road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Palo Alto, California 94304</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(650) 493-9300</w:t>
            </w:r>
          </w:p>
        </w:tc>
        <w:tc>
          <w:tcPr>
            <w:tcW w:w="23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Matthew Murphy</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General Counsel</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Nautilus Biotechnology, Inc.</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2701 Eastlake Avenue East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Seattle, Washington 98102</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(206) 333-2001</w:t>
            </w:r>
          </w:p>
        </w:tc>
      </w:tr>
    </w:tbl>
    <w:p>
      <w:pPr>
        <w:pStyle w:val="TextBody"/>
        <w:bidi w:val="0"/>
        <w:spacing w:lineRule="auto" w:line="288" w:before="0" w:after="60"/>
        <w:jc w:val="left"/>
        <w:rPr/>
      </w:pPr>
      <w:r>
        <w:rPr>
          <w:rFonts w:ascii="Times New Roman;serif" w:hAnsi="Times New Roman;serif"/>
          <w:b/>
          <w:color w:val="000000"/>
          <w:sz w:val="18"/>
        </w:rPr>
        <w:t>Approximate date of commencement of proposed sale to the public</w:t>
      </w:r>
      <w:r>
        <w:rPr>
          <w:rFonts w:ascii="Times New Roman;serif" w:hAnsi="Times New Roman;serif"/>
          <w:b w:val="false"/>
          <w:color w:val="000000"/>
          <w:sz w:val="18"/>
        </w:rPr>
        <w:t>: From time to time after the effective date of the registration statement.</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If the only securities being registered on this Form are being offered pursuant to dividend or interest reinvestment plans, please check the following box: ☐</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2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94"/>
        <w:gridCol w:w="694"/>
        <w:gridCol w:w="69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lineRule="auto" w:line="288" w:before="0" w:after="60"/>
        <w:jc w:val="left"/>
        <w:rPr>
          <w:rFonts w:ascii="Times New Roman;serif" w:hAnsi="Times New Roman;serif"/>
          <w:b/>
          <w:color w:val="000000"/>
          <w:sz w:val="18"/>
        </w:rPr>
      </w:pPr>
      <w:r>
        <w:rPr>
          <w:rFonts w:ascii="Times New Roman;serif" w:hAnsi="Times New Roman;serif"/>
          <w:b/>
          <w:color w:val="000000"/>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registration statement contains two prospectuses: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base prospectus, which covers the offering, issuance and sale by us of up to a maximum aggregate offering price of $300,000,000 of our common stock, preferred stock, debt securities, depositary shares, warrants, subscription rights, purchase contracts and/or units representing two or more of the foregoing securities;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prospectus supplement covering the offering, issuance and sale by us of up to a maximum aggregate offering price of $125,000,000 of our common stock that may be issued and sold under a sales agreement (“Sales Agreement”) dated September 11, 2026 with TD Securities (USA) LLC (“TD Cowen”).</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base prospectus immediately follows this explanatory note. The Sales Agreement prospectus supplement immediately follows the base prospectus. The </w:t>
      </w:r>
      <w:r>
        <w:rPr>
          <w:rFonts w:ascii="Times New Roman;serif" w:hAnsi="Times New Roman;serif"/>
          <w:b w:val="false"/>
          <w:color w:val="000000"/>
          <w:sz w:val="20"/>
        </w:rPr>
        <w:t>$125,000,000</w:t>
      </w:r>
      <w:r>
        <w:rPr>
          <w:color w:val="000000"/>
          <w:shd w:fill="FFFFFF" w:val="clear"/>
        </w:rPr>
        <w:t xml:space="preserve"> </w:t>
      </w:r>
      <w:r>
        <w:rPr>
          <w:rFonts w:ascii="Times New Roman;serif" w:hAnsi="Times New Roman;serif"/>
          <w:b w:val="false"/>
          <w:color w:val="000000"/>
          <w:sz w:val="20"/>
          <w:shd w:fill="FFFFFF" w:val="clear"/>
        </w:rPr>
        <w:t xml:space="preserve">of common stock that may be offered, issued and sold under the Sales Agreement prospectus supplement is included in the </w:t>
      </w:r>
      <w:r>
        <w:rPr>
          <w:rFonts w:ascii="Times New Roman;serif" w:hAnsi="Times New Roman;serif"/>
          <w:b w:val="false"/>
          <w:color w:val="000000"/>
          <w:sz w:val="20"/>
        </w:rPr>
        <w:t>$300,000,000</w:t>
      </w:r>
      <w:r>
        <w:rPr>
          <w:color w:val="000000"/>
          <w:shd w:fill="FFFFFF" w:val="clear"/>
        </w:rPr>
        <w:t xml:space="preserve"> </w:t>
      </w:r>
      <w:r>
        <w:rPr>
          <w:rFonts w:ascii="Times New Roman;serif" w:hAnsi="Times New Roman;serif"/>
          <w:b w:val="false"/>
          <w:color w:val="000000"/>
          <w:sz w:val="20"/>
          <w:shd w:fill="FFFFFF" w:val="clear"/>
        </w:rPr>
        <w:t xml:space="preserve">of securities that may be offered, issued and sold by us under the base prospectus. Any portion of the </w:t>
      </w:r>
      <w:r>
        <w:rPr>
          <w:rFonts w:ascii="Times New Roman;serif" w:hAnsi="Times New Roman;serif"/>
          <w:b w:val="false"/>
          <w:color w:val="000000"/>
          <w:sz w:val="20"/>
        </w:rPr>
        <w:t>$125,000,000</w:t>
      </w:r>
      <w:r>
        <w:rPr>
          <w:color w:val="000000"/>
          <w:shd w:fill="FFFFFF" w:val="clear"/>
        </w:rPr>
        <w:t xml:space="preserve"> </w:t>
      </w:r>
      <w:r>
        <w:rPr>
          <w:rFonts w:ascii="Times New Roman;serif" w:hAnsi="Times New Roman;serif"/>
          <w:b w:val="false"/>
          <w:color w:val="000000"/>
          <w:sz w:val="20"/>
          <w:shd w:fill="FFFFFF" w:val="clear"/>
        </w:rPr>
        <w:t xml:space="preserve">included in the Sales Agreement prospectus supplement that is not sold pursuant to the Sales Agreement will be available for sale in other offerings pursuant to the base prospectus and a corresponding prospectus supplement, and if no shares are sold under the Sales Agreement, the full </w:t>
      </w:r>
      <w:r>
        <w:rPr>
          <w:rFonts w:ascii="Times New Roman;serif" w:hAnsi="Times New Roman;serif"/>
          <w:b w:val="false"/>
          <w:color w:val="000000"/>
          <w:sz w:val="20"/>
        </w:rPr>
        <w:t>$125,000,000</w:t>
      </w:r>
      <w:r>
        <w:rPr>
          <w:color w:val="000000"/>
          <w:shd w:fill="FFFFFF" w:val="clear"/>
        </w:rPr>
        <w:t xml:space="preserve"> </w:t>
      </w:r>
      <w:r>
        <w:rPr>
          <w:rFonts w:ascii="Times New Roman;serif" w:hAnsi="Times New Roman;serif"/>
          <w:b w:val="false"/>
          <w:color w:val="000000"/>
          <w:sz w:val="20"/>
          <w:shd w:fill="FFFFFF" w:val="clear"/>
        </w:rPr>
        <w:t>of securities may be sold in other offerings pursuant to the base prospectus and a corresponding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F1665F"/>
          <w:sz w:val="20"/>
        </w:rPr>
      </w:pPr>
      <w:r>
        <w:rPr>
          <w:rFonts w:ascii="Times New Roman;serif" w:hAnsi="Times New Roman;serif"/>
          <w:b/>
          <w:color w:val="F1665F"/>
          <w:sz w:val="20"/>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lineRule="auto" w:line="288" w:before="0" w:after="180"/>
        <w:jc w:val="center"/>
        <w:rPr>
          <w:rFonts w:ascii="Times New Roman;serif" w:hAnsi="Times New Roman;serif"/>
          <w:b/>
          <w:color w:val="F1665F"/>
          <w:sz w:val="20"/>
        </w:rPr>
      </w:pPr>
      <w:r>
        <w:rPr>
          <w:rFonts w:ascii="Times New Roman;serif" w:hAnsi="Times New Roman;serif"/>
          <w:b/>
          <w:color w:val="F1665F"/>
          <w:sz w:val="20"/>
        </w:rPr>
        <w:t>Subject to Completion, dated September 11,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180"/>
        <w:jc w:val="center"/>
        <w:rPr/>
      </w:pPr>
      <w:r>
        <w:rPr/>
        <w:drawing>
          <wp:inline distT="0" distB="0" distL="0" distR="0">
            <wp:extent cx="2743200" cy="8667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743200" cy="866775"/>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Nautilus Biotechnology,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$300,000,000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Debt Securities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Depositary Shares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Subscription Rights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Purchase Contracts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Capital Market under the symbol “NAUT.” Each prospectus supplement will indicate whether the securities offered thereby will be listed on any securities exchange.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pStyle w:val="TextBody"/>
        <w:bidi w:val="0"/>
        <w:spacing w:lineRule="auto" w:line="288" w:before="0" w:after="180"/>
        <w:ind w:left="0" w:right="0" w:firstLine="360"/>
        <w:jc w:val="left"/>
        <w:rPr/>
      </w:pPr>
      <w:r>
        <w:rPr>
          <w:rFonts w:ascii="Times New Roman;serif" w:hAnsi="Times New Roman;serif"/>
          <w:b/>
          <w:color w:val="000000"/>
          <w:sz w:val="20"/>
        </w:rPr>
        <w:t xml:space="preserve">Investing in our securities involves risks. Please carefully read the information under the headings “Risk Factors” beginning on page </w:t>
      </w:r>
      <w:hyperlink w:anchor="i0c2782c1f31a45ce896cbb30586f8bc6_19">
        <w:r>
          <w:rPr>
            <w:rStyle w:val="InternetLink"/>
            <w:rFonts w:ascii="Times New Roman;serif" w:hAnsi="Times New Roman;serif"/>
            <w:b/>
            <w:color w:val="0000FF"/>
            <w:sz w:val="20"/>
            <w:u w:val="single"/>
          </w:rPr>
          <w:t>4</w:t>
        </w:r>
      </w:hyperlink>
      <w:r>
        <w:rPr>
          <w:color w:val="000000"/>
        </w:rPr>
        <w:t xml:space="preserve"> </w:t>
      </w:r>
      <w:r>
        <w:rPr>
          <w:rFonts w:ascii="Times New Roman;serif" w:hAnsi="Times New Roman;serif"/>
          <w:b/>
          <w:color w:val="000000"/>
          <w:sz w:val="20"/>
        </w:rPr>
        <w:t>of this prospectus and “Item 1A – Risk Factors” of our most recent report on Form 10-K or 10-Q that is incorporated by reference in this prospectus before you invest in our securities.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date of this prospectus is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3826" w:type="dxa"/>
        <w:jc w:val="left"/>
        <w:tblInd w:w="0" w:type="dxa"/>
        <w:tblLayout w:type="fixed"/>
        <w:tblCellMar>
          <w:top w:w="28" w:type="dxa"/>
          <w:left w:w="28" w:type="dxa"/>
          <w:bottom w:w="28" w:type="dxa"/>
          <w:right w:w="28" w:type="dxa"/>
        </w:tblCellMar>
      </w:tblPr>
      <w:tblGrid>
        <w:gridCol w:w="1202"/>
        <w:gridCol w:w="1054"/>
        <w:gridCol w:w="1059"/>
        <w:gridCol w:w="149"/>
        <w:gridCol w:w="149"/>
        <w:gridCol w:w="213"/>
      </w:tblGrid>
      <w:tr>
        <w:trPr/>
        <w:tc>
          <w:tcPr>
            <w:tcW w:w="120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13">
              <w:r>
                <w:rPr>
                  <w:rStyle w:val="InternetLink"/>
                  <w:rFonts w:ascii="Times New Roman;serif" w:hAnsi="Times New Roman;serif"/>
                  <w:b w:val="false"/>
                  <w:strike w:val="false"/>
                  <w:dstrike w:val="false"/>
                  <w:color w:val="0000FF"/>
                  <w:sz w:val="20"/>
                  <w:u w:val="none"/>
                  <w:effect w:val="non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0c2782c1f31a45ce896cbb30586f8bc6_13">
              <w:r>
                <w:rPr>
                  <w:rStyle w:val="InternetLink"/>
                  <w:rFonts w:ascii="Times New Roman;serif" w:hAnsi="Times New Roman;serif"/>
                  <w:b w:val="false"/>
                  <w:strike w:val="false"/>
                  <w:dstrike w:val="false"/>
                  <w:color w:val="0000FF"/>
                  <w:sz w:val="20"/>
                  <w:u w:val="none"/>
                  <w:effect w:val="none"/>
                </w:rPr>
                <w:t>ii</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16">
              <w:r>
                <w:rPr>
                  <w:rStyle w:val="InternetLink"/>
                  <w:rFonts w:ascii="Times New Roman;serif" w:hAnsi="Times New Roman;serif"/>
                  <w:b w:val="false"/>
                  <w:strike w:val="false"/>
                  <w:dstrike w:val="false"/>
                  <w:color w:val="0000FF"/>
                  <w:sz w:val="20"/>
                  <w:u w:val="none"/>
                  <w:effect w:val="none"/>
                </w:rPr>
                <w:t>Prospectus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16">
              <w:r>
                <w:rPr>
                  <w:rStyle w:val="InternetLink"/>
                  <w:rFonts w:ascii="Times New Roman;serif" w:hAnsi="Times New Roman;serif"/>
                  <w:b w:val="false"/>
                  <w:strike w:val="false"/>
                  <w:dstrike w:val="false"/>
                  <w:color w:val="0000FF"/>
                  <w:sz w:val="20"/>
                  <w:u w:val="none"/>
                  <w:effect w:val="none"/>
                </w:rPr>
                <w:t>1</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19">
              <w:r>
                <w:rPr>
                  <w:rStyle w:val="InternetLink"/>
                  <w:rFonts w:ascii="Times New Roman;serif" w:hAnsi="Times New Roman;serif"/>
                  <w:b w:val="false"/>
                  <w:strike w:val="false"/>
                  <w:dstrike w:val="false"/>
                  <w:color w:val="0000FF"/>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19">
              <w:r>
                <w:rPr>
                  <w:rStyle w:val="InternetLink"/>
                  <w:rFonts w:ascii="Times New Roman;serif" w:hAnsi="Times New Roman;serif"/>
                  <w:b w:val="false"/>
                  <w:strike w:val="false"/>
                  <w:dstrike w:val="false"/>
                  <w:color w:val="0000FF"/>
                  <w:sz w:val="20"/>
                  <w:u w:val="none"/>
                  <w:effect w:val="none"/>
                </w:rPr>
                <w:t>4</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22">
              <w:r>
                <w:rPr>
                  <w:rStyle w:val="InternetLink"/>
                  <w:rFonts w:ascii="Times New Roman;serif" w:hAnsi="Times New Roman;serif"/>
                  <w:b w:val="false"/>
                  <w:strike w:val="false"/>
                  <w:dstrike w:val="false"/>
                  <w:color w:val="0000FF"/>
                  <w:sz w:val="20"/>
                  <w:u w:val="none"/>
                  <w:effect w:val="none"/>
                </w:rPr>
                <w:t>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22">
              <w:r>
                <w:rPr>
                  <w:rStyle w:val="InternetLink"/>
                  <w:rFonts w:ascii="Times New Roman;serif" w:hAnsi="Times New Roman;serif"/>
                  <w:b w:val="false"/>
                  <w:strike w:val="false"/>
                  <w:dstrike w:val="false"/>
                  <w:color w:val="0000FF"/>
                  <w:sz w:val="20"/>
                  <w:u w:val="none"/>
                  <w:effect w:val="none"/>
                </w:rPr>
                <w:t>5</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25">
              <w:r>
                <w:rPr>
                  <w:rStyle w:val="InternetLink"/>
                  <w:rFonts w:ascii="Times New Roman;serif" w:hAnsi="Times New Roman;serif"/>
                  <w:b w:val="false"/>
                  <w:strike w:val="false"/>
                  <w:dstrike w:val="false"/>
                  <w:color w:val="0000FF"/>
                  <w:sz w:val="20"/>
                  <w:u w:val="none"/>
                  <w:effect w:val="non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25">
              <w:r>
                <w:rPr>
                  <w:rStyle w:val="InternetLink"/>
                  <w:rFonts w:ascii="Times New Roman;serif" w:hAnsi="Times New Roman;serif"/>
                  <w:b w:val="false"/>
                  <w:strike w:val="false"/>
                  <w:dstrike w:val="false"/>
                  <w:color w:val="0000FF"/>
                  <w:sz w:val="20"/>
                  <w:u w:val="none"/>
                  <w:effect w:val="none"/>
                </w:rPr>
                <w:t>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28">
              <w:r>
                <w:rPr>
                  <w:rStyle w:val="InternetLink"/>
                  <w:rFonts w:ascii="Times New Roman;serif" w:hAnsi="Times New Roman;serif"/>
                  <w:b w:val="false"/>
                  <w:strike w:val="false"/>
                  <w:dstrike w:val="false"/>
                  <w:color w:val="0000FF"/>
                  <w:sz w:val="20"/>
                  <w:u w:val="none"/>
                  <w:effect w:val="non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28">
              <w:r>
                <w:rPr>
                  <w:rStyle w:val="InternetLink"/>
                  <w:rFonts w:ascii="Times New Roman;serif" w:hAnsi="Times New Roman;serif"/>
                  <w:b w:val="false"/>
                  <w:strike w:val="false"/>
                  <w:dstrike w:val="false"/>
                  <w:color w:val="0000FF"/>
                  <w:sz w:val="20"/>
                  <w:u w:val="none"/>
                  <w:effect w:val="none"/>
                </w:rPr>
                <w:t>7</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31">
              <w:r>
                <w:rPr>
                  <w:rStyle w:val="InternetLink"/>
                  <w:rFonts w:ascii="Times New Roman;serif" w:hAnsi="Times New Roman;serif"/>
                  <w:b w:val="false"/>
                  <w:strike w:val="false"/>
                  <w:dstrike w:val="false"/>
                  <w:color w:val="0000FF"/>
                  <w:sz w:val="20"/>
                  <w:u w:val="none"/>
                  <w:effect w:val="non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31">
              <w:r>
                <w:rPr>
                  <w:rStyle w:val="InternetLink"/>
                  <w:rFonts w:ascii="Times New Roman;serif" w:hAnsi="Times New Roman;serif"/>
                  <w:b w:val="false"/>
                  <w:strike w:val="false"/>
                  <w:dstrike w:val="false"/>
                  <w:color w:val="0000FF"/>
                  <w:sz w:val="20"/>
                  <w:u w:val="none"/>
                  <w:effect w:val="none"/>
                </w:rPr>
                <w:t>8</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34">
              <w:r>
                <w:rPr>
                  <w:rStyle w:val="InternetLink"/>
                  <w:rFonts w:ascii="Times New Roman;serif" w:hAnsi="Times New Roman;serif"/>
                  <w:b w:val="false"/>
                  <w:strike w:val="false"/>
                  <w:dstrike w:val="false"/>
                  <w:color w:val="0000FF"/>
                  <w:sz w:val="20"/>
                  <w:u w:val="none"/>
                  <w:effect w:val="none"/>
                </w:rPr>
                <w:t>Description of Depositary Shares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34">
              <w:r>
                <w:rPr>
                  <w:rStyle w:val="InternetLink"/>
                  <w:rFonts w:ascii="Times New Roman;serif" w:hAnsi="Times New Roman;serif"/>
                  <w:b w:val="false"/>
                  <w:strike w:val="false"/>
                  <w:dstrike w:val="false"/>
                  <w:color w:val="0000FF"/>
                  <w:sz w:val="20"/>
                  <w:u w:val="none"/>
                  <w:effect w:val="none"/>
                </w:rPr>
                <w:t>16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37">
              <w:r>
                <w:rPr>
                  <w:rStyle w:val="InternetLink"/>
                  <w:rFonts w:ascii="Times New Roman;serif" w:hAnsi="Times New Roman;serif"/>
                  <w:b w:val="false"/>
                  <w:strike w:val="false"/>
                  <w:dstrike w:val="false"/>
                  <w:color w:val="0000FF"/>
                  <w:sz w:val="20"/>
                  <w:u w:val="none"/>
                  <w:effect w:val="non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37">
              <w:r>
                <w:rPr>
                  <w:rStyle w:val="InternetLink"/>
                  <w:rFonts w:ascii="Times New Roman;serif" w:hAnsi="Times New Roman;serif"/>
                  <w:b w:val="false"/>
                  <w:strike w:val="false"/>
                  <w:dstrike w:val="false"/>
                  <w:color w:val="0000FF"/>
                  <w:sz w:val="20"/>
                  <w:u w:val="none"/>
                  <w:effect w:val="none"/>
                </w:rPr>
                <w:t>19</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40">
              <w:r>
                <w:rPr>
                  <w:rStyle w:val="InternetLink"/>
                  <w:rFonts w:ascii="Times New Roman;serif" w:hAnsi="Times New Roman;serif"/>
                  <w:b w:val="false"/>
                  <w:strike w:val="false"/>
                  <w:dstrike w:val="false"/>
                  <w:color w:val="0000FF"/>
                  <w:sz w:val="20"/>
                  <w:u w:val="none"/>
                  <w:effect w:val="none"/>
                </w:rPr>
                <w:t>Description of Subscription Rights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40">
              <w:r>
                <w:rPr>
                  <w:rStyle w:val="InternetLink"/>
                  <w:rFonts w:ascii="Times New Roman;serif" w:hAnsi="Times New Roman;serif"/>
                  <w:b w:val="false"/>
                  <w:strike w:val="false"/>
                  <w:dstrike w:val="false"/>
                  <w:color w:val="0000FF"/>
                  <w:sz w:val="20"/>
                  <w:u w:val="none"/>
                  <w:effect w:val="none"/>
                </w:rPr>
                <w:t>20</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43">
              <w:r>
                <w:rPr>
                  <w:rStyle w:val="InternetLink"/>
                  <w:rFonts w:ascii="Times New Roman;serif" w:hAnsi="Times New Roman;serif"/>
                  <w:b w:val="false"/>
                  <w:strike w:val="false"/>
                  <w:dstrike w:val="false"/>
                  <w:color w:val="0000FF"/>
                  <w:sz w:val="20"/>
                  <w:u w:val="none"/>
                  <w:effect w:val="none"/>
                </w:rPr>
                <w:t>Description of Purchase Contracts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43">
              <w:r>
                <w:rPr>
                  <w:rStyle w:val="InternetLink"/>
                  <w:rFonts w:ascii="Times New Roman;serif" w:hAnsi="Times New Roman;serif"/>
                  <w:b w:val="false"/>
                  <w:strike w:val="false"/>
                  <w:dstrike w:val="false"/>
                  <w:color w:val="0000FF"/>
                  <w:sz w:val="20"/>
                  <w:u w:val="none"/>
                  <w:effect w:val="none"/>
                </w:rPr>
                <w:t>21</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46">
              <w:r>
                <w:rPr>
                  <w:rStyle w:val="InternetLink"/>
                  <w:rFonts w:ascii="Times New Roman;serif" w:hAnsi="Times New Roman;serif"/>
                  <w:b w:val="false"/>
                  <w:strike w:val="false"/>
                  <w:dstrike w:val="false"/>
                  <w:color w:val="0000FF"/>
                  <w:sz w:val="20"/>
                  <w:u w:val="none"/>
                  <w:effect w:val="none"/>
                </w:rPr>
                <w:t>Description of Units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46">
              <w:r>
                <w:rPr>
                  <w:rStyle w:val="InternetLink"/>
                  <w:rFonts w:ascii="Times New Roman;serif" w:hAnsi="Times New Roman;serif"/>
                  <w:b w:val="false"/>
                  <w:strike w:val="false"/>
                  <w:dstrike w:val="false"/>
                  <w:color w:val="0000FF"/>
                  <w:sz w:val="20"/>
                  <w:u w:val="none"/>
                  <w:effect w:val="none"/>
                </w:rPr>
                <w:t>22</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49">
              <w:r>
                <w:rPr>
                  <w:rStyle w:val="InternetLink"/>
                  <w:rFonts w:ascii="Times New Roman;serif" w:hAnsi="Times New Roman;serif"/>
                  <w:b w:val="false"/>
                  <w:strike w:val="false"/>
                  <w:dstrike w:val="false"/>
                  <w:color w:val="0000FF"/>
                  <w:sz w:val="20"/>
                  <w:u w:val="none"/>
                  <w:effect w:val="non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49">
              <w:r>
                <w:rPr>
                  <w:rStyle w:val="InternetLink"/>
                  <w:rFonts w:ascii="Times New Roman;serif" w:hAnsi="Times New Roman;serif"/>
                  <w:b w:val="false"/>
                  <w:strike w:val="false"/>
                  <w:dstrike w:val="false"/>
                  <w:color w:val="0000FF"/>
                  <w:sz w:val="20"/>
                  <w:u w:val="none"/>
                  <w:effect w:val="none"/>
                </w:rPr>
                <w:t>23</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52">
              <w:r>
                <w:rPr>
                  <w:rStyle w:val="InternetLink"/>
                  <w:rFonts w:ascii="Times New Roman;serif" w:hAnsi="Times New Roman;serif"/>
                  <w:b w:val="false"/>
                  <w:strike w:val="false"/>
                  <w:dstrike w:val="false"/>
                  <w:color w:val="0000FF"/>
                  <w:sz w:val="20"/>
                  <w:u w:val="none"/>
                  <w:effect w:val="non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52">
              <w:r>
                <w:rPr>
                  <w:rStyle w:val="InternetLink"/>
                  <w:rFonts w:ascii="Times New Roman;serif" w:hAnsi="Times New Roman;serif"/>
                  <w:b w:val="false"/>
                  <w:strike w:val="false"/>
                  <w:dstrike w:val="false"/>
                  <w:color w:val="0000FF"/>
                  <w:sz w:val="20"/>
                  <w:u w:val="none"/>
                  <w:effect w:val="none"/>
                </w:rPr>
                <w:t>26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55">
              <w:r>
                <w:rPr>
                  <w:rStyle w:val="InternetLink"/>
                  <w:rFonts w:ascii="Times New Roman;serif" w:hAnsi="Times New Roman;serif"/>
                  <w:b w:val="false"/>
                  <w:strike w:val="false"/>
                  <w:dstrike w:val="false"/>
                  <w:color w:val="0000FF"/>
                  <w:sz w:val="20"/>
                  <w:u w:val="none"/>
                  <w:effect w:val="non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55">
              <w:r>
                <w:rPr>
                  <w:rStyle w:val="InternetLink"/>
                  <w:rFonts w:ascii="Times New Roman;serif" w:hAnsi="Times New Roman;serif"/>
                  <w:b w:val="false"/>
                  <w:strike w:val="false"/>
                  <w:dstrike w:val="false"/>
                  <w:color w:val="0000FF"/>
                  <w:sz w:val="20"/>
                  <w:u w:val="none"/>
                  <w:effect w:val="none"/>
                </w:rPr>
                <w:t>26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58">
              <w:r>
                <w:rPr>
                  <w:rStyle w:val="InternetLink"/>
                  <w:rFonts w:ascii="Times New Roman;serif" w:hAnsi="Times New Roman;serif"/>
                  <w:b w:val="false"/>
                  <w:strike w:val="false"/>
                  <w:dstrike w:val="false"/>
                  <w:color w:val="0000FF"/>
                  <w:sz w:val="20"/>
                  <w:u w:val="none"/>
                  <w:effect w:val="non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58">
              <w:r>
                <w:rPr>
                  <w:rStyle w:val="InternetLink"/>
                  <w:rFonts w:ascii="Times New Roman;serif" w:hAnsi="Times New Roman;serif"/>
                  <w:b w:val="false"/>
                  <w:strike w:val="false"/>
                  <w:dstrike w:val="false"/>
                  <w:color w:val="0000FF"/>
                  <w:sz w:val="20"/>
                  <w:u w:val="none"/>
                  <w:effect w:val="none"/>
                </w:rPr>
                <w:t>26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c2782c1f31a45ce896cbb30586f8bc6_61">
              <w:r>
                <w:rPr>
                  <w:rStyle w:val="InternetLink"/>
                  <w:rFonts w:ascii="Times New Roman;serif" w:hAnsi="Times New Roman;serif"/>
                  <w:b w:val="false"/>
                  <w:strike w:val="false"/>
                  <w:dstrike w:val="false"/>
                  <w:color w:val="0000FF"/>
                  <w:sz w:val="20"/>
                  <w:u w:val="none"/>
                  <w:effect w:val="none"/>
                </w:rPr>
                <w:t>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61">
              <w:r>
                <w:rPr>
                  <w:rStyle w:val="InternetLink"/>
                  <w:rFonts w:ascii="Times New Roman;serif" w:hAnsi="Times New Roman;serif"/>
                  <w:b w:val="false"/>
                  <w:strike w:val="false"/>
                  <w:dstrike w:val="false"/>
                  <w:color w:val="0000FF"/>
                  <w:sz w:val="20"/>
                  <w:u w:val="none"/>
                  <w:effect w:val="non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price up to $300,000,000.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Before you invest in our securities, you should read both this prospectus and any applicable prospectus supplement together with the additional information described in the sections titled “Where You Can Find More Information” and “Incorporation by Reference.”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0" w:after="180"/>
        <w:ind w:left="0" w:right="0" w:firstLine="36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in the section titled “Risk Factors” and the financial statements and related notes and other information that we incorporate by reference herein, including our Annual Report on Form 10-K and our Quarterly Reports on Form 10-Q. Unless the context indicates otherwise, references in this prospectus to “Nautilus Biotechnology, Inc.,” “we,” “our” and “us” refer, collectively, to Nautilus Biotechnology, Inc., a Delaware corporation, and its subsidiaries taken as a whole.</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Company Overview</w:t>
      </w:r>
    </w:p>
    <w:p>
      <w:pPr>
        <w:pStyle w:val="TextBody"/>
        <w:bidi w:val="0"/>
        <w:spacing w:lineRule="auto" w:line="288" w:before="0" w:after="180"/>
        <w:ind w:left="0" w:right="0" w:firstLine="360"/>
        <w:jc w:val="left"/>
        <w:rPr>
          <w:bdr w:val="single" w:sz="8" w:space="36" w:color="000000"/>
        </w:rPr>
      </w:pPr>
      <w:r>
        <w:rPr>
          <w:rFonts w:ascii="Times New Roman;serif" w:hAnsi="Times New Roman;serif"/>
          <w:b w:val="false"/>
          <w:color w:val="000000"/>
          <w:sz w:val="20"/>
          <w:bdr w:val="single" w:sz="8" w:space="36" w:color="000000"/>
        </w:rPr>
        <w:t>We are a development stage life sciences company focused on creating a platform technology to quantify and unlock the complexity of the proteome. We were founded to address longstanding challenges in proteomics through the development of a new measurement method, Iterative Mapping, for the analysis of single, intact protein molecules at scale. Our mission is to transform the field of proteomics by broadening access to high-quality proteomic data and to help support fundamental advancements across human health and medicine. Iterative Mapping is designed to enable broad and deep characterization of the proteome while delivering high reproducibility through direct single molecule counting. By repeatedly interrogating individual protein molecules and aggregating results across billions of measurements, Iterative Mapping generates digital protein counts that are intended to support consistent comparison across samples, experiments, and time. The Nautilus Voyager</w:t>
      </w:r>
      <w:r>
        <w:rPr>
          <w:rFonts w:ascii="Times New Roman;serif" w:hAnsi="Times New Roman;serif"/>
          <w:b w:val="false"/>
          <w:color w:val="000000"/>
          <w:sz w:val="13"/>
          <w:bdr w:val="single" w:sz="8" w:space="36" w:color="000000"/>
        </w:rPr>
        <w:t>TM</w:t>
      </w:r>
      <w:r>
        <w:rPr>
          <w:color w:val="000000"/>
          <w:bdr w:val="single" w:sz="8" w:space="36" w:color="000000"/>
        </w:rPr>
        <w:t xml:space="preserve"> </w:t>
      </w:r>
      <w:r>
        <w:rPr>
          <w:rFonts w:ascii="Times New Roman;serif" w:hAnsi="Times New Roman;serif"/>
          <w:b w:val="false"/>
          <w:color w:val="000000"/>
          <w:sz w:val="20"/>
          <w:bdr w:val="single" w:sz="8" w:space="36" w:color="000000"/>
        </w:rPr>
        <w:t>platform is designed to implement the Iterative Mapping method. The Nautilus Voyager platform integrates nanofabricated protein arrays, affinity reagent probing, advanced optics and fluidics, and machine learning–based analysis into an end-to-end workflow inclusive of instrumentation, consumables, and software.</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Corporate Information</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were incorporated as a Cayman Islands exempted company in March 2020 as a blank check company under the name ARYA Sciences Acquisition Corp III (“ARYA”). On June 9, 2021, we consummated a business combination pursuant to the terms of that certain Business Combination Agreement, dated as of February 7, 2021 (the “Business Combination Agreement”), by and among ARYA, Mako Merger Sub, Inc., a Delaware corporation and wholly-owned subsidiary of ARYA, and Nautilus Subsidiary, Inc., a Delaware corporation (f/k/a Nautilus Biotechnology, Inc.). Pursuant to the terms of the Business Combination Agreement,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principal executive offices are located at 2701 Eastlake Avenue East, Seattle, Washington 98102, and our telephone number is (206) 333-2001. Our investor relations website is located at https://investors.nautilus.bio/. Information contained on the website is not incorporated by reference into this prospectus or any other filings we make with the SEC.</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Securities That May Be Offered</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We may offer or sell common stock, preferred stock, depositary shares, debt securities, warrants, subscription rights, purchase contracts and units in one or more offerings and in any combination. The aggregate offering price of </w:t>
      </w: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 xml:space="preserve">the securities we sell pursuant to this prospectus will not exceed </w:t>
      </w:r>
      <w:r>
        <w:rPr>
          <w:rFonts w:ascii="Times New Roman;serif" w:hAnsi="Times New Roman;serif"/>
          <w:b w:val="false"/>
          <w:color w:val="000000"/>
          <w:sz w:val="20"/>
          <w:bdr w:val="single" w:sz="8" w:space="36" w:color="000000"/>
        </w:rPr>
        <w:t>$300,000,000</w:t>
      </w:r>
      <w:r>
        <w:rPr>
          <w:rFonts w:ascii="Times New Roman;serif" w:hAnsi="Times New Roman;serif"/>
          <w:b w:val="false"/>
          <w:color w:val="000000"/>
          <w:sz w:val="20"/>
          <w:bdr w:val="single" w:sz="8" w:space="36" w:color="000000"/>
          <w:shd w:fill="FFFFFF" w:val="clear"/>
        </w:rPr>
        <w:t>. Each time securities are offered with this prospectus, we will provide a prospectus supplement that will describe the specific amounts, prices and terms of the securities being offered and the net proceeds we expect to receive from that sale.</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securities may be sold to or through underwriters, dealers or agents or directly to purchasers or as otherwise set forth in the section titled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Common Stock</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Preferred Stock</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Depositary Shares</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may offer depositary shares evidenced by depositary receipts, with each depositary share representing a fractional interest in a share of a particular series of preferred stock issued and deposited with a depositary to be designated by us.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Debt Securities</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offer debt securities that are convertible into shares of our common stock or other securities.</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Warrants</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may offer warrants for the purchase of common stock, preferred stock, debt securities or depositary shares. We may offer warrants independently or together with other securities.</w:t>
      </w: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Subscription Rights</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Purchase Contracts</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may offer purchase contracts, including contracts obligating holders or us to purchase from the other a specific or variable number of securities at a future date or dates.</w: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Units</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may offer units comprised of one or more of the other classes of securities described in this prospectus in any combination. Each unit will be issued so that the holder of the unit is also the holder of each security included in the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in the section of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or the Securities Act,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will set forth in the prospectus supplement our intended use for the net proceeds received from the sale of any securities. We will retain broad discretion over the use of the net proceeds to us from the sale of our securities under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description of our capital stock is incorporated by reference to</w:t>
      </w:r>
      <w:hyperlink r:id="rId3">
        <w:r>
          <w:rPr>
            <w:rStyle w:val="InternetLink"/>
            <w:color w:val="0000FF"/>
            <w:u w:val="single"/>
          </w:rPr>
          <w:t xml:space="preserve"> </w:t>
        </w:r>
      </w:hyperlink>
      <w:hyperlink r:id="rId4">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to our Annual Report on Form 10-K for the fiscal year ended December 31, 2022, filed with the SEC on February 23,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DEBT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offer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and is subject to, and qualified in its entirety by reference to, all of the provisions of the indenture applicable to a particular series of debt securities. The form of the indenture has been filed as an exhibit to the registration statement of which this prospectus forms a part and you should read the indenture for provisions that may be important to you. Supplemental indentures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also are referring to any supplemental indentures or forms of debt securities that specify the terms of a particular series of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and ranking of the debt securities (including the terms of any subordination provisions);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or prices (expressed as a percentage of the principal amount) at which we will sell the debt securities, including the portion of the principal amount of such debt securities that is convertible into another security or the method by which any such portion will be determined, which may be sold at a discount below their stated principal amount;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limit upon the aggregate principal amount of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or dates on which the principal of the securities of the series is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right, if any, to defer payments of interest and the maximum length of such deferral period;</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period or periods within which, the price or prices at which, and the terms and conditions upon which, we may redeem the debt securities, in whole or in part, at our option, and the manner in which any election by us to redeem the debt securities will be evidenced;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if any, relating to conversion or exchange of any debt securities of such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denominations in which the debt securities will be issued, if other than denominations of $1,000, and any integral multiple thereof;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debt securities will be issued in the form of certificated debt securities or global debt securities (including the terms pertaining to the exchange of any such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portion of principal amount of the debt securities payable upon declaration of acceleration of the maturity date, if other than the principal amount;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manner in which the amounts of payment of principal or premium or interest, if any, on the debt securities will be determined, if these amounts may be determined by reference to an index based on a currency or currencies or by reference to a commodity, commodity index, stock exchange index or financial index;</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provisions relating to any security provided for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depositaries, interest rate calculation agents, exchange rate calculation agents or other agents with respect to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there is more than one trustee or a different trustee, the identity of the trustee and, if not the trustee, the identity of each security registrar, paying agent or authenticating agent with respect to such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any of our direct or indirect subsidiaries will guarantee the debt securities of that series, including the terms of subordination, if any, of such guarantees.</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and Exchange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in the section titled “—Global Debt Securities and Book-Entry System,” book-entry debt securities will not be issuable in certificated form.</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Certificated Debt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Global Debt Securities and Book-Entry System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global debt security representing book-entry debt securities will be deposited with, or on behalf of, the depositary, and registered in the name of the depositary or a nominee of the depositary.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Covenants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set forth in the applicable prospectus supplement any restrictive covenants applicable to any issue or series of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 Protection in the Event of a Change of Control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Consolidation, Merger and Sale of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consolidate with or merge with or into, or convey, transfer or lease all or substantially all of our properties and assets to any person, which we refer to as a successor person, unless: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immediately after giving effect to the transaction, no Default or Event of Default, shall have occurred and be continuing.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Notwithstanding the above, any of our subsidiaries may consolidate with, merge into or transfer all or part of its properties to 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Events of Default</w:t>
      </w:r>
    </w:p>
    <w:p>
      <w:pPr>
        <w:pStyle w:val="TextBody"/>
        <w:bidi w:val="0"/>
        <w:spacing w:lineRule="auto" w:line="288" w:before="0" w:after="180"/>
        <w:ind w:left="0" w:right="0" w:firstLine="360"/>
        <w:jc w:val="left"/>
        <w:rPr>
          <w:color w:val="000000"/>
        </w:rPr>
      </w:pPr>
      <w:r>
        <w:rPr>
          <w:color w:val="000000"/>
        </w:rPr>
        <w:t>“</w:t>
      </w:r>
      <w:r>
        <w:rPr>
          <w:rFonts w:ascii="Times New Roman;serif" w:hAnsi="Times New Roman;serif"/>
          <w:b w:val="false"/>
          <w:color w:val="000000"/>
          <w:sz w:val="20"/>
        </w:rPr>
        <w:t>Event of Default” means with respect to any series of debt securities, any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default in the payment of principal of any security of that series at its maturity;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certain voluntary or involuntary events of bankruptcy, insolvency or reorganization of us;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other Event of Default provided with respect to debt securities of that series that is described in the applicable prospectus supplement.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that holder has previously given to the trustee written notice of a continuing Event of Default with respect to debt securities of that series;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Modification and Waiver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the trustee may modify, amend or supplement the indenture or the debt securities of any series without the consent of any holder of any debt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cure any ambiguity, defect or inconsistency;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covenants in the indenture described in the section titled “—Consolidation, Merger and Sale of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uncertificated securities in addition to or in place of certificated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guarantees with respect to debt securities of any series or secure debt securities of any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surrender any of our rights or powers under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covenants or events of default for the benefit of the holders of debt securities of any series;</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the applicable procedures of the applicable depositary;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make any change that does not adversely affect the rights of any holder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the issuance of, and establish the form and terms and conditions of debt securities of, any series as permitted by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effect the appointment of a successor trustee with respect to the debt securities of any series and to add to or change any of the provisions of the indenture to provide for or facilitate administration by more than one trustee;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requirements of the SEC in order to effect or maintain the qualification of the indenture under the Trust Indenture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amount of debt securities whose holders must consent to an amendment, supplement or waiver;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rate of or extend the time for payment of interest (including default interest) on any debt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principal of, or premium on, or change the fixed maturity of any debt security, or reduce the amount of, or postpone the date fixed for, the payment of any sinking fund or analogous obligation with respect to any series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principal amount of discount securities payable upon acceleration of maturity;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the principal of or premium or interest on any debt security payable in currency other than that stated in the debt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waive a redemption payment with respect to any debt security.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Defeasance of Debt Securities and Certain Covenants in Certain Circumstances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Legal Defeasance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Defeasance of Certain Covenants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unless otherwise provided by the terms of the applicable series of debt securities, upon compliance with certain conditions: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omit to comply with the covenant described in the section titled “—Consolidation, Merger and Sale of Assets” and certain other covenants set forth in the indenture, as well as any additional covenants which may be set forth in the applicable prospectus supplement;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omission to comply with those covenants will not constitute a Default or an Event of Default with respect to the debt securities of that series.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refer to this as covenant defeasance. The conditions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such deposit will not result in a breach or violation of, or constitute a default under the indenture or any other agreement to which we are a party;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 Default or Event of Default with respect to the applicable series of debt securities shall have occurred or is continuing on the date of such deposit;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 Personal Liability of Directors, Officers, Employees or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Governing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and the debt securities, including any claim or controversy arising out of or relating to the indenture or the securities, will be governed by the laws of the State of New York.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DEPOSITARY SHARES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offer depositary shares representing a fractional interest in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Dividends and Other Distributions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Liquidation Preference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Withdrawal of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Redemption of Depositary Shares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Voting the 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Charges of the Depositary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Amendment and Termination of the Deposit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all outstanding depositary shares have been redeemed;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there has been a final distribution of the preferred stock in connection with our dissolution and such distribution has been made to all the holders of depositary shares.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Resignation and Removal of Depositary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Limitation of Liability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may offer warrants to purchase </w:t>
      </w:r>
      <w:r>
        <w:rPr>
          <w:rFonts w:ascii="Times New Roman;serif" w:hAnsi="Times New Roman;serif"/>
          <w:b w:val="false"/>
          <w:color w:val="000000"/>
          <w:sz w:val="20"/>
          <w:shd w:fill="FFFFFF" w:val="clear"/>
        </w:rPr>
        <w:t>debt securities, preferred stock, depositary shares or common stock</w:t>
      </w:r>
      <w:r>
        <w:rPr>
          <w:rFonts w:ascii="Times New Roman;serif" w:hAnsi="Times New Roman;serif"/>
          <w:b w:val="false"/>
          <w:color w:val="000000"/>
          <w:sz w:val="20"/>
        </w:rPr>
        <w:t xml:space="preserve">. We may offer warrants separately or together with one or more additional warrants, </w:t>
      </w:r>
      <w:r>
        <w:rPr>
          <w:rFonts w:ascii="Times New Roman;serif" w:hAnsi="Times New Roman;serif"/>
          <w:b w:val="false"/>
          <w:color w:val="000000"/>
          <w:sz w:val="20"/>
          <w:shd w:fill="FFFFFF" w:val="clear"/>
        </w:rPr>
        <w:t>debt securities, preferred stock, depositary shares or common stock</w:t>
      </w:r>
      <w:r>
        <w:rPr>
          <w:rFonts w:ascii="Times New Roman;serif" w:hAnsi="Times New Roman;serif"/>
          <w:b w:val="false"/>
          <w:color w:val="000000"/>
          <w:sz w:val="20"/>
        </w:rPr>
        <w:t>,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specific designation and aggregate number of, and the offering price at which we will issue, the warrants;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currency or currency units in which the offering price, if any, and the exercise price are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the right to exercise the warrants will begin and the date on which that right will expire or, if you may not continuously exercise the warrants throughout that period, the specific date or dates on which you may exercise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warrants are to be sold separately or with other securities as parts of units;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warrants will be issued in definitive or global form or in any combination of these forms, although, in any case, the form of a warrant included in a unit will correspond to the form of the unit and of any security included in that unit;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applicable material U.S. federal income tax consequences;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identity of the warrant agent for the warrants and of any other depositaries, execution or paying agents, transfer agents, registrars or other agents;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proposed listing, if any, of the warrants or any securities purchasable upon exercise of the warrants on any securities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and terms of any equity securities purchasable upon exercise of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aggregate principal amount, currency and terms of any debt securities that may be purchased upon exercise of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designation and terms of the debt securities, preferred stock, depositary shares or common stock with which the warrants are issued and the number of warrants issued with each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date from and after which any warrants issued as part of a unit and the related debt securities, preferred stock, depositary shares or common stock will be separately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of shares of preferred stock, the number of depositary shares or the number of shares of common stock purchasable upon exercise of a warrant and the price at which those shares may be purchased;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minimum or maximum amount of the warrants that may be exercised at any one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information with respect to book-entry procedures,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antidilution provisions, and other provisions for changes to or adjustment in the exercise price, of the warrants,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redemption or call provisions;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additional terms of the warrants, including terms, procedures and limitations relating to the exchange or exercise of the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SUBSCRIPTION RIGHTS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may offer subscription rights to purchase our </w:t>
      </w:r>
      <w:r>
        <w:rPr>
          <w:rFonts w:ascii="Times New Roman;serif" w:hAnsi="Times New Roman;serif"/>
          <w:b w:val="false"/>
          <w:color w:val="000000"/>
          <w:sz w:val="20"/>
          <w:shd w:fill="FFFFFF" w:val="clear"/>
        </w:rPr>
        <w:t>common stock, preferred stock, debt securities, depositary shares, warrants or units consisting of some or all of these securities</w:t>
      </w:r>
      <w:r>
        <w:rPr>
          <w:rFonts w:ascii="Times New Roman;serif" w:hAnsi="Times New Roman;serif"/>
          <w:b w:val="false"/>
          <w:color w:val="000000"/>
          <w:sz w:val="20"/>
        </w:rPr>
        <w:t>.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subscription rights we offer, if any, will, to the extent applicable, include specific terms relating to the offering, including some or all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if any, for the subscription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exercise price payable for our common stock, preferred stock, debt securities, depositary shares, warrants or units consisting of some or all of these securities upon the exercise of the subscription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of subscription rights to be issued to each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and terms of our common stock, preferred stock, debt securities, depositary shares, warrants or units consisting of some or all of these securities which may be purchased per each subscription right;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subscription rights are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subscription rights, including the terms, procedures and limitations relating to the exchange and exercise of the subscription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the right to exercise the subscription rights shall commence, and the date on which the subscription rights shall expire;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subscription rights may include an over-subscription privilege with respect to unsubscribed securities or an over-allotment privilege to the extent the securities are fully subscribed;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material terms of any standby underwriting or purchase arrangement which may be entered into by us in connection with the offering of subscription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titled “Where You Can Find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PURCHASE CONTRACTS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offer any purchase contracts, certain terms of that series of purchase contracts will be described in the applicable prospectus supplement, including, without limitation,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of the securities or other property subject to the purchase contracts (which may be determined by reference to a specific formula described in the purchase contracts);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purchase contracts are issued separately, or as a part of units each consisting of a purchase contract and one or more of our other securities, including U.S. Treasury securities, securing the holder’s obligations under the purchase contract;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requirement for us to make periodic payments to holders or vice versa, and whether the payments are unsecured or pre-funded;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provisions relating to any security provided for the purchase contracts;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purchase contracts are to be prepaid or not;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purchase contracts are to be settled by delivery, or by reference or linkage to the value, performance or level of the securities subject to purchase under the purchase contract;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acceleration, cancellation, termination or other provisions relating to the settlement of the purchase contracts;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discussion of certain U.S. federal income tax considerations applicable to the purchase contracts;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purchase contracts will be issued in fully registered or global form;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purchase contracts and any securities subject to such purchase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titled “Where You Can Find More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particular issuance of units will describe the terms of those units, including, to the extent applicable,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and terms of the units and the securities comprising the units, including whether and under what circumstances those securities may be held or transferred separately;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 for the issuance, payment, settlement, transfer or exchange of the units or of the securities comprising the units;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units will be issued in fully registered or global 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sell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underwriters;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dealers;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agents;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directly to purchasers;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a combination of any of these methods of sale.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may issue the securities as a dividend or distribution or in a subscription rights offering to our existing securityholders.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distribution of the securities may be effected from time to time in one or more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a fixed price or prices that may be changed from time to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prospectus supplement will describe the method of distribution of the securities and any applicable restrictions.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prospectus supplement with respect to the securities of a particular series will describe the terms of the offering of the securities,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name of the agent or any underwriters;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 offering or purchase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and commissions to be allowed or paid to the agent or underwriters;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all other items constituting underwriting compensation;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and commissions to be allowed or paid to dealers;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exchanges on which the securities will be listed.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Agents, underwriters, dealers and other persons may be entitled under agreements that they may enter into with us to indemnification by us against certain civil liabilities, including liabilities under the Securities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purchase by an institution of the securities covered under that contract shall not at the time of delivery be prohibited under the laws of the jurisdiction to which that institution is subject;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 securities are also being sold to underwriters acting as principals for their own account, the underwriters shall have purchased such securities not sold for delayed delivery.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underwriters and other persons acting as agents will not have any responsibility in respect of the validity or performance of delayed delivery contracts.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validity of the securities offered hereby will be passed upon for us by Wilson Sonsini Goodrich &amp; Rosati, Professional Corporation, Palo Alto, California. Additional legal matters may be passed on for us, or any underwriters, dealers or agents, by counsel that we will name in the applicable prospectus supplement.</w:t>
      </w:r>
      <w:r>
        <w:rPr>
          <w:color w:val="000000"/>
          <w:shd w:fill="FFFFFF" w:val="clear"/>
        </w:rPr>
        <w:t xml:space="preserve"> </w:t>
      </w:r>
      <w:r>
        <w:rPr>
          <w:rFonts w:ascii="Times New Roman;serif" w:hAnsi="Times New Roman;serif"/>
          <w:b w:val="false"/>
          <w:color w:val="000000"/>
          <w:sz w:val="20"/>
          <w:shd w:fill="FFFFFF" w:val="clear"/>
        </w:rPr>
        <w:t xml:space="preserve">Certain members of, and investment partnerships comprised of members of, and persons associated with, Wilson Sonsini Goodrich &amp; Rosati, P.C. own less than 0.2% of our </w:t>
      </w:r>
      <w:r>
        <w:rPr>
          <w:rFonts w:ascii="Times New Roman;serif" w:hAnsi="Times New Roman;serif"/>
          <w:b w:val="false"/>
          <w:color w:val="000000"/>
          <w:sz w:val="20"/>
        </w:rPr>
        <w:t>common stock</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financial statements incorporated in this prospectus by reference to the Annual Report on Form 10-K for the year ended December 31, 2025 have been so incorporated in reliance on the report (which contains an emphasis of matter paragraph relating to the Company’s net operating losses and negative cash flows from operations and management’s evaluation of the events and conditions described in Note 1 to the financial statements) of PricewaterhouseCoopers LLP, an independent registered public accounting firm,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file annual, quarterly and current reports, proxy statements and other information with the SEC. Our SEC filings are available to the public over the Internet at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 xml:space="preserve">. Copies of certain information filed by us with the SEC are also available on our website at </w:t>
      </w:r>
      <w:r>
        <w:rPr>
          <w:rFonts w:ascii="Times New Roman;serif" w:hAnsi="Times New Roman;serif"/>
          <w:b w:val="false"/>
          <w:i/>
          <w:color w:val="000000"/>
          <w:sz w:val="20"/>
        </w:rPr>
        <w:t>https://www.nautilus.bio/</w:t>
      </w:r>
      <w:r>
        <w:rPr>
          <w:rFonts w:ascii="Times New Roman;serif" w:hAnsi="Times New Roman;serif"/>
          <w:b w:val="false"/>
          <w:color w:val="000000"/>
          <w:sz w:val="20"/>
        </w:rPr>
        <w:t>. Information accessible on or through our website is not a part of this prospectus.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forms a part and prior to the effectiveness of the registration statement, as well as subsequent to the effectiveness of the registration statement, until the offering of the securities under the registration statement of which this prospectus forms a part is terminated or completed: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w:t>
      </w:r>
      <w:hyperlink r:id="rId5">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December 31, 2025, filed with the SEC on February 26,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information incorporated by reference into our </w:t>
      </w:r>
      <w:hyperlink r:id="rId6">
        <w:r>
          <w:rPr>
            <w:rStyle w:val="InternetLink"/>
          </w:rPr>
          <w:t xml:space="preserve">Annual </w:t>
        </w:r>
      </w:hyperlink>
      <w:hyperlink r:id="rId7">
        <w:r>
          <w:rPr>
            <w:rStyle w:val="InternetLink"/>
          </w:rPr>
          <w:t xml:space="preserve">Report </w:t>
        </w:r>
      </w:hyperlink>
      <w:r>
        <w:rPr>
          <w:rFonts w:ascii="Times New Roman;serif" w:hAnsi="Times New Roman;serif"/>
          <w:b w:val="false"/>
          <w:color w:val="000000"/>
          <w:sz w:val="20"/>
        </w:rPr>
        <w:t xml:space="preserve">on Form 10-K for the year ended December 31, 2025 from our Definitive Proxy Statement on </w:t>
      </w:r>
      <w:hyperlink r:id="rId8">
        <w:r>
          <w:rPr>
            <w:rStyle w:val="InternetLink"/>
            <w:rFonts w:ascii="Times New Roman;serif" w:hAnsi="Times New Roman;serif"/>
            <w:b w:val="false"/>
            <w:color w:val="0000FF"/>
            <w:sz w:val="20"/>
            <w:u w:val="single"/>
          </w:rPr>
          <w:t>Schedule 14A</w:t>
        </w:r>
      </w:hyperlink>
      <w:r>
        <w:rPr>
          <w:rFonts w:ascii="Times New Roman;serif" w:hAnsi="Times New Roman;serif"/>
          <w:b w:val="false"/>
          <w:color w:val="000000"/>
          <w:sz w:val="20"/>
        </w:rPr>
        <w:t>, filed with the SEC on April 28,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Reports on Form 10-Q for the quarters ended </w:t>
      </w:r>
      <w:hyperlink r:id="rId9">
        <w:r>
          <w:rPr>
            <w:rStyle w:val="InternetLink"/>
            <w:rFonts w:ascii="Times New Roman;serif" w:hAnsi="Times New Roman;serif"/>
            <w:b w:val="false"/>
            <w:color w:val="0000FF"/>
            <w:sz w:val="20"/>
            <w:u w:val="single"/>
          </w:rPr>
          <w:t>March 31, 2026</w:t>
        </w:r>
      </w:hyperlink>
      <w:r>
        <w:rPr>
          <w:color w:val="000000"/>
        </w:rPr>
        <w:t xml:space="preserve"> </w:t>
      </w:r>
      <w:r>
        <w:rPr>
          <w:rFonts w:ascii="Times New Roman;serif" w:hAnsi="Times New Roman;serif"/>
          <w:b w:val="false"/>
          <w:color w:val="000000"/>
          <w:sz w:val="20"/>
        </w:rPr>
        <w:t xml:space="preserve">and </w:t>
      </w:r>
      <w:hyperlink r:id="rId10">
        <w:r>
          <w:rPr>
            <w:rStyle w:val="InternetLink"/>
            <w:rFonts w:ascii="Times New Roman;serif" w:hAnsi="Times New Roman;serif"/>
            <w:b w:val="false"/>
            <w:color w:val="0000FF"/>
            <w:sz w:val="20"/>
            <w:u w:val="single"/>
          </w:rPr>
          <w:t>June 30, 2026</w:t>
        </w:r>
      </w:hyperlink>
      <w:r>
        <w:rPr>
          <w:rFonts w:ascii="Times New Roman;serif" w:hAnsi="Times New Roman;serif"/>
          <w:b w:val="false"/>
          <w:color w:val="000000"/>
          <w:sz w:val="20"/>
        </w:rPr>
        <w:t xml:space="preserve">, filed with the SEC on </w:t>
      </w:r>
      <w:hyperlink r:id="rId11">
        <w:r>
          <w:rPr>
            <w:rStyle w:val="InternetLink"/>
            <w:rFonts w:ascii="Times New Roman;serif" w:hAnsi="Times New Roman;serif"/>
            <w:b w:val="false"/>
            <w:color w:val="0000FF"/>
            <w:sz w:val="20"/>
            <w:u w:val="single"/>
          </w:rPr>
          <w:t>April 28, 2026</w:t>
        </w:r>
      </w:hyperlink>
      <w:r>
        <w:rPr>
          <w:color w:val="000000"/>
        </w:rPr>
        <w:t xml:space="preserve"> </w:t>
      </w:r>
      <w:r>
        <w:rPr>
          <w:rFonts w:ascii="Times New Roman;serif" w:hAnsi="Times New Roman;serif"/>
          <w:b w:val="false"/>
          <w:color w:val="000000"/>
          <w:sz w:val="20"/>
        </w:rPr>
        <w:t xml:space="preserve">and </w:t>
      </w:r>
      <w:hyperlink r:id="rId12">
        <w:r>
          <w:rPr>
            <w:rStyle w:val="InternetLink"/>
            <w:rFonts w:ascii="Times New Roman;serif" w:hAnsi="Times New Roman;serif"/>
            <w:b w:val="false"/>
            <w:color w:val="0000FF"/>
            <w:sz w:val="20"/>
            <w:u w:val="single"/>
          </w:rPr>
          <w:t>July 28, 2026</w:t>
        </w:r>
      </w:hyperlink>
      <w:r>
        <w:rPr>
          <w:rFonts w:ascii="Times New Roman;serif" w:hAnsi="Times New Roman;serif"/>
          <w:b w:val="false"/>
          <w:color w:val="000000"/>
          <w:sz w:val="20"/>
        </w:rPr>
        <w:t>, respectively;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 on Form 8-K filed with the SEC on </w:t>
      </w:r>
      <w:hyperlink r:id="rId13">
        <w:r>
          <w:rPr>
            <w:rStyle w:val="InternetLink"/>
            <w:rFonts w:ascii="Times New Roman;serif" w:hAnsi="Times New Roman;serif"/>
            <w:b w:val="false"/>
            <w:color w:val="0000FF"/>
            <w:sz w:val="20"/>
            <w:u w:val="single"/>
          </w:rPr>
          <w:t>June 18, 2026</w:t>
        </w:r>
      </w:hyperlink>
      <w:r>
        <w:rPr>
          <w:rFonts w:ascii="Times New Roman;serif" w:hAnsi="Times New Roman;serif"/>
          <w:b w:val="false"/>
          <w:color w:val="000000"/>
          <w:sz w:val="20"/>
        </w:rPr>
        <w: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contained in the Registration Statement on </w:t>
      </w:r>
      <w:hyperlink r:id="rId14">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relating thereto, filed with the SEC on August 6, 2020, including any amendment or report filed for the purpose of updating such description.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may request a copy of these filings, at no cost, by writing or telephoning us at the following address and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Nautilus Biotechnology,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2701 Eastlake Avenue East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Seattle, Washington 98102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Attn: Investor Relations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(206) 333-2001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60"/>
        <w:jc w:val="left"/>
        <w:rPr>
          <w:rFonts w:ascii="Times New Roman;serif" w:hAnsi="Times New Roman;serif"/>
          <w:b/>
          <w:color w:val="F1665F"/>
          <w:sz w:val="20"/>
        </w:rPr>
      </w:pPr>
      <w:r>
        <w:rPr>
          <w:rFonts w:ascii="Times New Roman;serif" w:hAnsi="Times New Roman;serif"/>
          <w:b/>
          <w:color w:val="F1665F"/>
          <w:sz w:val="20"/>
        </w:rPr>
        <w:t>The information in this prospectus supplement is not complete and may be changed. The securities may not be sold until the registration statement filed with the Securities and Exchange Commission is effective. This prospectus supplement is not an offer to sell these securities and it is not soliciting an offer to buy these securities in any state where the offer or sale is not permitted.</w:t>
      </w:r>
    </w:p>
    <w:p>
      <w:pPr>
        <w:pStyle w:val="TextBody"/>
        <w:bidi w:val="0"/>
        <w:spacing w:lineRule="auto" w:line="288" w:before="0" w:after="180"/>
        <w:jc w:val="center"/>
        <w:rPr>
          <w:rFonts w:ascii="Times New Roman;serif" w:hAnsi="Times New Roman;serif"/>
          <w:b/>
          <w:color w:val="F1665F"/>
          <w:sz w:val="20"/>
        </w:rPr>
      </w:pPr>
      <w:r>
        <w:rPr>
          <w:rFonts w:ascii="Times New Roman;serif" w:hAnsi="Times New Roman;serif"/>
          <w:b/>
          <w:color w:val="F1665F"/>
          <w:sz w:val="20"/>
        </w:rPr>
        <w:t xml:space="preserve">SUBJECT TO COMPLETION, DATED SEPTEMBER 11, 2026.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 SUPPLEMENT</w:t>
      </w:r>
    </w:p>
    <w:p>
      <w:pPr>
        <w:pStyle w:val="TextBody"/>
        <w:bidi w:val="0"/>
        <w:spacing w:before="0" w:after="180"/>
        <w:jc w:val="center"/>
        <w:rPr/>
      </w:pPr>
      <w:r>
        <w:rPr/>
        <w:drawing>
          <wp:inline distT="0" distB="0" distL="0" distR="0">
            <wp:extent cx="2286000" cy="723900"/>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15"/>
                    <a:stretch>
                      <a:fillRect/>
                    </a:stretch>
                  </pic:blipFill>
                  <pic:spPr bwMode="auto">
                    <a:xfrm>
                      <a:off x="0" y="0"/>
                      <a:ext cx="2286000" cy="723900"/>
                    </a:xfrm>
                    <a:prstGeom prst="rect">
                      <a:avLst/>
                    </a:prstGeom>
                  </pic:spPr>
                </pic:pic>
              </a:graphicData>
            </a:graphic>
          </wp:inline>
        </w:drawing>
      </w:r>
    </w:p>
    <w:p>
      <w:pPr>
        <w:pStyle w:val="TextBody"/>
        <w:bidi w:val="0"/>
        <w:spacing w:lineRule="auto" w:line="288" w:before="0" w:after="180"/>
        <w:jc w:val="center"/>
        <w:rPr/>
      </w:pPr>
      <w:r>
        <w:rPr>
          <w:rFonts w:ascii="Times New Roman;serif" w:hAnsi="Times New Roman;serif"/>
          <w:b/>
          <w:color w:val="000000"/>
          <w:sz w:val="36"/>
        </w:rPr>
        <w:t>Up to $125,000,000</w:t>
      </w:r>
      <w:r>
        <w:rPr>
          <w:color w:val="000000"/>
        </w:rPr>
        <w:t xml:space="preserve"> </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 xml:space="preserve">Common Stock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 sales agreement (the “sales agreement”) with TD Securities (USA) LLC (“TD Cowen”), dated September 11, 2026, relating to shares of our common stock, par value $0.0001 per share (“common stock”), offered by this prospectus supplement and the accompanying prospectus. In accordance with the terms of the sales agreement, we may offer and sell shares of our common stock having an aggregate offering price of up to $125,000,000 from time to time through TD Cowen acting as our agent or principal.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Nasdaq Capital Market (“Nasdaq”) under the symbol “NAUT.” On September 9, 2026, the last reported sale price of our common stock on Nasdaq was $1.12 per share.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of our common stock, if any, under this prospectus supplement and the accompanying prospectus will be made in negotiated transactions, including block trades or block sales, or by any method permitted by law deemed to be an “at the market offering” as defined in Rule 415 promulgated under the Securities Act of 1933, as amended (the “Securities Act”), including without limitation sales made through Nasdaq or any other trading market for our common stock, or by any other method permitted by law. TD Cowen is not required to sell any specific number of dollar amount of securities, but will act as our sales agent using commercially reasonable efforts consistent with its normal trading and sales practices, on mutually agreed terms between TD Cowen and us. There is no arrangement for funds to be received in any escrow, trust or similar arrangement. </w:t>
      </w:r>
    </w:p>
    <w:p>
      <w:pPr>
        <w:pStyle w:val="TextBody"/>
        <w:bidi w:val="0"/>
        <w:spacing w:lineRule="auto" w:line="288" w:before="0" w:after="180"/>
        <w:ind w:left="0" w:right="0" w:firstLine="720"/>
        <w:jc w:val="left"/>
        <w:rPr/>
      </w:pPr>
      <w:r>
        <w:rPr>
          <w:rFonts w:ascii="Times New Roman;serif" w:hAnsi="Times New Roman;serif"/>
          <w:b w:val="false"/>
          <w:color w:val="000000"/>
          <w:sz w:val="20"/>
        </w:rPr>
        <w:t>The compensation to TD Cowen for sales of common stock sold pursuant to the sales agreement will be an amount up to 3.0% of the gross proceeds of any shares of common stock sold under the sales agreement. In connection with the sale of the common stock on our behalf, TD Cowen may be deemed to be an “underwriter” within the meaning of the Securities Act and the compensation of TD Cowen may be deemed to be underwriting commissions or discounts. We have also agreed to provide indemnification and contribution to TD Cowen with respect to certain liabilities, including liabilities under the Securities Act or the Securities Exchange Act of 1934, as amended (the “Exchange Act”). See “</w:t>
      </w:r>
      <w:hyperlink w:anchor="i0c2782c1f31a45ce896cbb30586f8bc6_97">
        <w:r>
          <w:rPr>
            <w:rStyle w:val="InternetLink"/>
            <w:rFonts w:ascii="Times New Roman;serif" w:hAnsi="Times New Roman;serif"/>
            <w:b w:val="false"/>
            <w:color w:val="0000FF"/>
            <w:sz w:val="20"/>
            <w:u w:val="single"/>
          </w:rPr>
          <w:t>Plan of Distribution</w:t>
        </w:r>
      </w:hyperlink>
      <w:r>
        <w:rPr>
          <w:color w:val="000000"/>
        </w:rPr>
        <w:t xml:space="preserve">” </w:t>
      </w:r>
      <w:r>
        <w:rPr>
          <w:rFonts w:ascii="Times New Roman;serif" w:hAnsi="Times New Roman;serif"/>
          <w:b w:val="false"/>
          <w:color w:val="000000"/>
          <w:sz w:val="20"/>
        </w:rPr>
        <w:t xml:space="preserve">beginning on page </w:t>
      </w:r>
      <w:hyperlink w:anchor="i0c2782c1f31a45ce896cbb30586f8bc6_97">
        <w:r>
          <w:rPr>
            <w:rStyle w:val="InternetLink"/>
            <w:rFonts w:ascii="Times New Roman;serif" w:hAnsi="Times New Roman;serif"/>
            <w:b w:val="false"/>
            <w:color w:val="000080"/>
            <w:sz w:val="20"/>
            <w:u w:val="single"/>
          </w:rPr>
          <w:t>S-</w:t>
        </w:r>
      </w:hyperlink>
      <w:hyperlink w:anchor="i0c2782c1f31a45ce896cbb30586f8bc6_97">
        <w:r>
          <w:rPr>
            <w:rStyle w:val="InternetLink"/>
            <w:rFonts w:ascii="Times New Roman;serif" w:hAnsi="Times New Roman;serif"/>
            <w:b w:val="false"/>
            <w:color w:val="000080"/>
            <w:sz w:val="20"/>
            <w:u w:val="single"/>
          </w:rPr>
          <w:t>13</w:t>
        </w:r>
      </w:hyperlink>
      <w:r>
        <w:rPr>
          <w:color w:val="000000"/>
        </w:rPr>
        <w:t xml:space="preserve"> </w:t>
      </w:r>
      <w:r>
        <w:rPr>
          <w:rFonts w:ascii="Times New Roman;serif" w:hAnsi="Times New Roman;serif"/>
          <w:b w:val="false"/>
          <w:color w:val="000000"/>
          <w:sz w:val="20"/>
        </w:rPr>
        <w:t xml:space="preserve">for additional information regarding the compensation to be paid to TD Cowen.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“smaller reporting company” under federal securities laws and as such, have elected to comply with reduced public company reporting requirements for this prospectus supplement, the accompanying prospectus and the documents incorporated by reference herein and may elect to comply with reduced public company reporting requirements in future filings. See “Prospectus Supplement Summary—Implications of Being a Smaller Reporting Company.” </w:t>
      </w:r>
    </w:p>
    <w:p>
      <w:pPr>
        <w:pStyle w:val="TextBody"/>
        <w:bidi w:val="0"/>
        <w:spacing w:lineRule="auto" w:line="288" w:before="0" w:after="180"/>
        <w:ind w:left="0" w:right="0" w:firstLine="720"/>
        <w:jc w:val="left"/>
        <w:rPr/>
      </w:pPr>
      <w:r>
        <w:rPr>
          <w:rFonts w:ascii="Times New Roman;serif" w:hAnsi="Times New Roman;serif"/>
          <w:b/>
          <w:color w:val="000000"/>
          <w:sz w:val="20"/>
        </w:rPr>
        <w:t>Our business and an investment in our common stock involve significant risks. Before making an investment decision, you should review carefully and consider all of the information set forth in this prospectus supplement and the documents incorporated by reference. These risks are described under the caption “</w:t>
      </w:r>
      <w:hyperlink w:anchor="i0c2782c1f31a45ce896cbb30586f8bc6_82">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beginning on page </w:t>
      </w:r>
      <w:hyperlink w:anchor="i0c2782c1f31a45ce896cbb30586f8bc6_82">
        <w:r>
          <w:rPr>
            <w:rStyle w:val="InternetLink"/>
          </w:rPr>
          <w:t>S-</w:t>
        </w:r>
      </w:hyperlink>
      <w:hyperlink w:anchor="i0c2782c1f31a45ce896cbb30586f8bc6_82">
        <w:r>
          <w:rPr>
            <w:rStyle w:val="InternetLink"/>
          </w:rPr>
          <w:t>6</w:t>
        </w:r>
      </w:hyperlink>
      <w:r>
        <w:rPr>
          <w:color w:val="000000"/>
        </w:rPr>
        <w:t xml:space="preserve"> </w:t>
      </w:r>
      <w:r>
        <w:rPr>
          <w:rFonts w:ascii="Times New Roman;serif" w:hAnsi="Times New Roman;serif"/>
          <w:b/>
          <w:color w:val="000000"/>
          <w:sz w:val="20"/>
        </w:rPr>
        <w:t xml:space="preserve">of this prospectus supplement and in the documents incorporated by reference into this prospectus supplement. </w:t>
      </w:r>
    </w:p>
    <w:p>
      <w:pPr>
        <w:pStyle w:val="TextBody"/>
        <w:bidi w:val="0"/>
        <w:spacing w:lineRule="auto" w:line="288" w:before="0" w:after="18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TD Cowen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The date of this prospectus supplement is               ,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6374" w:type="dxa"/>
        <w:jc w:val="left"/>
        <w:tblInd w:w="0" w:type="dxa"/>
        <w:tblLayout w:type="fixed"/>
        <w:tblCellMar>
          <w:top w:w="28" w:type="dxa"/>
          <w:left w:w="28" w:type="dxa"/>
          <w:bottom w:w="28" w:type="dxa"/>
          <w:right w:w="28" w:type="dxa"/>
        </w:tblCellMar>
      </w:tblPr>
      <w:tblGrid>
        <w:gridCol w:w="2120"/>
        <w:gridCol w:w="1863"/>
        <w:gridCol w:w="1866"/>
        <w:gridCol w:w="153"/>
        <w:gridCol w:w="153"/>
        <w:gridCol w:w="219"/>
      </w:tblGrid>
      <w:tr>
        <w:trPr/>
        <w:tc>
          <w:tcPr>
            <w:tcW w:w="2120"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2782c1f31a45ce896cbb30586f8bc6_70">
              <w:r>
                <w:rPr>
                  <w:rStyle w:val="InternetLink"/>
                  <w:rFonts w:ascii="Times New Roman;serif" w:hAnsi="Times New Roman;serif"/>
                  <w:b w:val="false"/>
                  <w:color w:val="0000FF"/>
                  <w:sz w:val="20"/>
                  <w:u w:val="single"/>
                </w:rPr>
                <w:t>ABOUT THIS PROSPECTUS SUPPLEMENT</w:t>
              </w:r>
            </w:hyperlink>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0c2782c1f31a45ce896cbb30586f8bc6_70">
              <w:r>
                <w:rPr>
                  <w:rStyle w:val="InternetLink"/>
                  <w:rFonts w:ascii="Times New Roman;serif" w:hAnsi="Times New Roman;serif"/>
                  <w:b w:val="false"/>
                  <w:color w:val="000080"/>
                  <w:sz w:val="20"/>
                  <w:u w:val="single"/>
                </w:rPr>
                <w:t>S-</w:t>
              </w:r>
            </w:hyperlink>
            <w:hyperlink w:anchor="i0c2782c1f31a45ce896cbb30586f8bc6_70">
              <w:r>
                <w:rPr>
                  <w:rStyle w:val="InternetLink"/>
                  <w:rFonts w:ascii="Times New Roman;serif" w:hAnsi="Times New Roman;serif"/>
                  <w:b w:val="false"/>
                  <w:color w:val="000080"/>
                  <w:sz w:val="20"/>
                  <w:u w:val="single"/>
                </w:rPr>
                <w:t>1</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2782c1f31a45ce896cbb30586f8bc6_73">
              <w:r>
                <w:rPr>
                  <w:rStyle w:val="InternetLink"/>
                  <w:rFonts w:ascii="Times New Roman;serif" w:hAnsi="Times New Roman;serif"/>
                  <w:b w:val="false"/>
                  <w:color w:val="000080"/>
                  <w:sz w:val="20"/>
                  <w:u w:val="single"/>
                </w:rPr>
                <w:t>MARKE</w:t>
              </w:r>
            </w:hyperlink>
            <w:hyperlink w:anchor="i0c2782c1f31a45ce896cbb30586f8bc6_73">
              <w:r>
                <w:rPr>
                  <w:rStyle w:val="InternetLink"/>
                  <w:rFonts w:ascii="Times New Roman;serif" w:hAnsi="Times New Roman;serif"/>
                  <w:b w:val="false"/>
                  <w:color w:val="000080"/>
                  <w:sz w:val="20"/>
                  <w:u w:val="single"/>
                </w:rPr>
                <w:t>T, INDUSTRY AND OTHER DATA</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73">
              <w:r>
                <w:rPr>
                  <w:rStyle w:val="InternetLink"/>
                  <w:rFonts w:ascii="Times New Roman;serif" w:hAnsi="Times New Roman;serif"/>
                  <w:b w:val="false"/>
                  <w:color w:val="000080"/>
                  <w:sz w:val="20"/>
                  <w:u w:val="single"/>
                </w:rPr>
                <w:t>S-</w:t>
              </w:r>
            </w:hyperlink>
            <w:hyperlink w:anchor="i0c2782c1f31a45ce896cbb30586f8bc6_73">
              <w:r>
                <w:rPr>
                  <w:rStyle w:val="InternetLink"/>
                  <w:rFonts w:ascii="Times New Roman;serif" w:hAnsi="Times New Roman;serif"/>
                  <w:b w:val="false"/>
                  <w:color w:val="000080"/>
                  <w:sz w:val="20"/>
                  <w:u w:val="single"/>
                </w:rPr>
                <w:t>2</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2782c1f31a45ce896cbb30586f8bc6_76">
              <w:r>
                <w:rPr>
                  <w:rStyle w:val="InternetLink"/>
                  <w:rFonts w:ascii="Times New Roman;serif" w:hAnsi="Times New Roman;serif"/>
                  <w:b w:val="false"/>
                  <w:color w:val="0000FF"/>
                  <w:sz w:val="20"/>
                  <w:u w:val="single"/>
                </w:rPr>
                <w:t>PROSPECTUS SUPPLEMENT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79">
              <w:r>
                <w:rPr>
                  <w:rStyle w:val="InternetLink"/>
                  <w:rFonts w:ascii="Times New Roman;serif" w:hAnsi="Times New Roman;serif"/>
                  <w:b w:val="false"/>
                  <w:color w:val="000080"/>
                  <w:sz w:val="20"/>
                  <w:u w:val="single"/>
                </w:rPr>
                <w:t>S-</w:t>
              </w:r>
            </w:hyperlink>
            <w:hyperlink w:anchor="i0c2782c1f31a45ce896cbb30586f8bc6_76">
              <w:r>
                <w:rPr>
                  <w:rStyle w:val="InternetLink"/>
                  <w:rFonts w:ascii="Times New Roman;serif" w:hAnsi="Times New Roman;serif"/>
                  <w:b w:val="false"/>
                  <w:color w:val="000080"/>
                  <w:sz w:val="20"/>
                  <w:u w:val="single"/>
                </w:rPr>
                <w:t>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2782c1f31a45ce896cbb30586f8bc6_82">
              <w:r>
                <w:rPr>
                  <w:rStyle w:val="InternetLink"/>
                  <w:rFonts w:ascii="Times New Roman;serif" w:hAnsi="Times New Roman;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82">
              <w:r>
                <w:rPr>
                  <w:rStyle w:val="InternetLink"/>
                  <w:rFonts w:ascii="Times New Roman;serif" w:hAnsi="Times New Roman;serif"/>
                  <w:b w:val="false"/>
                  <w:color w:val="000080"/>
                  <w:sz w:val="20"/>
                  <w:u w:val="single"/>
                </w:rPr>
                <w:t>S-</w:t>
              </w:r>
            </w:hyperlink>
            <w:hyperlink w:anchor="i0c2782c1f31a45ce896cbb30586f8bc6_82">
              <w:r>
                <w:rPr>
                  <w:rStyle w:val="InternetLink"/>
                  <w:rFonts w:ascii="Times New Roman;serif" w:hAnsi="Times New Roman;serif"/>
                  <w:b w:val="false"/>
                  <w:color w:val="000080"/>
                  <w:sz w:val="20"/>
                  <w:u w:val="single"/>
                </w:rPr>
                <w:t>6</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2782c1f31a45ce896cbb30586f8bc6_85">
              <w:r>
                <w:rPr>
                  <w:rStyle w:val="InternetLink"/>
                  <w:rFonts w:ascii="Times New Roman;serif" w:hAnsi="Times New Roman;serif"/>
                  <w:b w:val="false"/>
                  <w:color w:val="0000FF"/>
                  <w:sz w:val="20"/>
                  <w:u w:val="single"/>
                </w:rPr>
                <w:t>SPECIAL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85">
              <w:r>
                <w:rPr>
                  <w:rStyle w:val="InternetLink"/>
                  <w:rFonts w:ascii="Times New Roman;serif" w:hAnsi="Times New Roman;serif"/>
                  <w:b w:val="false"/>
                  <w:color w:val="000080"/>
                  <w:sz w:val="20"/>
                  <w:u w:val="single"/>
                </w:rPr>
                <w:t>S-</w:t>
              </w:r>
            </w:hyperlink>
            <w:hyperlink w:anchor="i0c2782c1f31a45ce896cbb30586f8bc6_85">
              <w:r>
                <w:rPr>
                  <w:rStyle w:val="InternetLink"/>
                  <w:rFonts w:ascii="Times New Roman;serif" w:hAnsi="Times New Roman;serif"/>
                  <w:b w:val="false"/>
                  <w:color w:val="000080"/>
                  <w:sz w:val="20"/>
                  <w:u w:val="single"/>
                </w:rPr>
                <w:t>8</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2782c1f31a45ce896cbb30586f8bc6_88">
              <w:r>
                <w:rPr>
                  <w:rStyle w:val="InternetLink"/>
                  <w:rFonts w:ascii="Times New Roman;serif" w:hAnsi="Times New Roman;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88">
              <w:r>
                <w:rPr>
                  <w:rStyle w:val="InternetLink"/>
                  <w:rFonts w:ascii="Times New Roman;serif" w:hAnsi="Times New Roman;serif"/>
                  <w:b w:val="false"/>
                  <w:color w:val="000080"/>
                  <w:sz w:val="20"/>
                  <w:u w:val="single"/>
                </w:rPr>
                <w:t>S-</w:t>
              </w:r>
            </w:hyperlink>
            <w:hyperlink w:anchor="i0c2782c1f31a45ce896cbb30586f8bc6_88">
              <w:r>
                <w:rPr>
                  <w:rStyle w:val="InternetLink"/>
                  <w:rFonts w:ascii="Times New Roman;serif" w:hAnsi="Times New Roman;serif"/>
                  <w:b w:val="false"/>
                  <w:color w:val="000080"/>
                  <w:sz w:val="20"/>
                  <w:u w:val="single"/>
                </w:rPr>
                <w:t>10</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2782c1f31a45ce896cbb30586f8bc6_91">
              <w:r>
                <w:rPr>
                  <w:rStyle w:val="InternetLink"/>
                  <w:rFonts w:ascii="Times New Roman;serif" w:hAnsi="Times New Roman;serif"/>
                  <w:b w:val="false"/>
                  <w:color w:val="0000FF"/>
                  <w:sz w:val="20"/>
                  <w:u w:val="single"/>
                </w:rPr>
                <w:t>DIVIDEND POLICY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91">
              <w:r>
                <w:rPr>
                  <w:rStyle w:val="InternetLink"/>
                  <w:rFonts w:ascii="Times New Roman;serif" w:hAnsi="Times New Roman;serif"/>
                  <w:b w:val="false"/>
                  <w:color w:val="000080"/>
                  <w:sz w:val="20"/>
                  <w:u w:val="single"/>
                </w:rPr>
                <w:t>S-</w:t>
              </w:r>
            </w:hyperlink>
            <w:hyperlink w:anchor="i0c2782c1f31a45ce896cbb30586f8bc6_91">
              <w:r>
                <w:rPr>
                  <w:rStyle w:val="InternetLink"/>
                  <w:rFonts w:ascii="Times New Roman;serif" w:hAnsi="Times New Roman;serif"/>
                  <w:b w:val="false"/>
                  <w:color w:val="000080"/>
                  <w:sz w:val="20"/>
                  <w:u w:val="single"/>
                </w:rPr>
                <w:t>11</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2782c1f31a45ce896cbb30586f8bc6_94">
              <w:r>
                <w:rPr>
                  <w:rStyle w:val="InternetLink"/>
                  <w:rFonts w:ascii="Times New Roman;serif" w:hAnsi="Times New Roman;serif"/>
                  <w:b w:val="false"/>
                  <w:color w:val="0000FF"/>
                  <w:sz w:val="20"/>
                  <w:u w:val="single"/>
                </w:rPr>
                <w:t>DILUTION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94">
              <w:r>
                <w:rPr>
                  <w:rStyle w:val="InternetLink"/>
                  <w:rFonts w:ascii="Times New Roman;serif" w:hAnsi="Times New Roman;serif"/>
                  <w:b w:val="false"/>
                  <w:color w:val="000080"/>
                  <w:sz w:val="20"/>
                  <w:u w:val="single"/>
                </w:rPr>
                <w:t>S-</w:t>
              </w:r>
            </w:hyperlink>
            <w:hyperlink w:anchor="i0c2782c1f31a45ce896cbb30586f8bc6_94">
              <w:r>
                <w:rPr>
                  <w:rStyle w:val="InternetLink"/>
                  <w:rFonts w:ascii="Times New Roman;serif" w:hAnsi="Times New Roman;serif"/>
                  <w:b w:val="false"/>
                  <w:color w:val="000080"/>
                  <w:sz w:val="20"/>
                  <w:u w:val="single"/>
                </w:rPr>
                <w:t>12</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2782c1f31a45ce896cbb30586f8bc6_97">
              <w:r>
                <w:rPr>
                  <w:rStyle w:val="InternetLink"/>
                  <w:rFonts w:ascii="Times New Roman;serif" w:hAnsi="Times New Roman;serif"/>
                  <w:b w:val="false"/>
                  <w:color w:val="0000FF"/>
                  <w:sz w:val="20"/>
                  <w:u w:val="single"/>
                </w:rPr>
                <w:t>PLAN OF DISTRIBUTION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97">
              <w:r>
                <w:rPr>
                  <w:rStyle w:val="InternetLink"/>
                  <w:rFonts w:ascii="Times New Roman;serif" w:hAnsi="Times New Roman;serif"/>
                  <w:b w:val="false"/>
                  <w:color w:val="000080"/>
                  <w:sz w:val="20"/>
                  <w:u w:val="single"/>
                </w:rPr>
                <w:t>S-</w:t>
              </w:r>
            </w:hyperlink>
            <w:hyperlink w:anchor="i0c2782c1f31a45ce896cbb30586f8bc6_97">
              <w:r>
                <w:rPr>
                  <w:rStyle w:val="InternetLink"/>
                  <w:rFonts w:ascii="Times New Roman;serif" w:hAnsi="Times New Roman;serif"/>
                  <w:b w:val="false"/>
                  <w:color w:val="000080"/>
                  <w:sz w:val="20"/>
                  <w:u w:val="single"/>
                </w:rPr>
                <w:t>13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2782c1f31a45ce896cbb30586f8bc6_100">
              <w:r>
                <w:rPr>
                  <w:rStyle w:val="InternetLink"/>
                  <w:rFonts w:ascii="Times New Roman;serif" w:hAnsi="Times New Roman;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100">
              <w:r>
                <w:rPr>
                  <w:rStyle w:val="InternetLink"/>
                  <w:rFonts w:ascii="Times New Roman;serif" w:hAnsi="Times New Roman;serif"/>
                  <w:b w:val="false"/>
                  <w:color w:val="000080"/>
                  <w:sz w:val="20"/>
                  <w:u w:val="single"/>
                </w:rPr>
                <w:t>S-</w:t>
              </w:r>
            </w:hyperlink>
            <w:hyperlink w:anchor="i0c2782c1f31a45ce896cbb30586f8bc6_100">
              <w:r>
                <w:rPr>
                  <w:rStyle w:val="InternetLink"/>
                  <w:rFonts w:ascii="Times New Roman;serif" w:hAnsi="Times New Roman;serif"/>
                  <w:b w:val="false"/>
                  <w:color w:val="000080"/>
                  <w:sz w:val="20"/>
                  <w:u w:val="single"/>
                </w:rPr>
                <w:t>15</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2782c1f31a45ce896cbb30586f8bc6_103">
              <w:r>
                <w:rPr>
                  <w:rStyle w:val="InternetLink"/>
                  <w:rFonts w:ascii="Times New Roman;serif" w:hAnsi="Times New Roman;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103">
              <w:r>
                <w:rPr>
                  <w:rStyle w:val="InternetLink"/>
                  <w:rFonts w:ascii="Times New Roman;serif" w:hAnsi="Times New Roman;serif"/>
                  <w:b w:val="false"/>
                  <w:color w:val="000080"/>
                  <w:sz w:val="20"/>
                  <w:u w:val="single"/>
                </w:rPr>
                <w:t>S-</w:t>
              </w:r>
            </w:hyperlink>
            <w:hyperlink w:anchor="i0c2782c1f31a45ce896cbb30586f8bc6_103">
              <w:r>
                <w:rPr>
                  <w:rStyle w:val="InternetLink"/>
                  <w:rFonts w:ascii="Times New Roman;serif" w:hAnsi="Times New Roman;serif"/>
                  <w:b w:val="false"/>
                  <w:color w:val="000080"/>
                  <w:sz w:val="20"/>
                  <w:u w:val="single"/>
                </w:rPr>
                <w:t>15</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2782c1f31a45ce896cbb30586f8bc6_106">
              <w:r>
                <w:rPr>
                  <w:rStyle w:val="InternetLink"/>
                  <w:rFonts w:ascii="Times New Roman;serif" w:hAnsi="Times New Roman;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106">
              <w:r>
                <w:rPr>
                  <w:rStyle w:val="InternetLink"/>
                  <w:rFonts w:ascii="Times New Roman;serif" w:hAnsi="Times New Roman;serif"/>
                  <w:b w:val="false"/>
                  <w:color w:val="000080"/>
                  <w:sz w:val="20"/>
                  <w:u w:val="single"/>
                </w:rPr>
                <w:t>S-</w:t>
              </w:r>
            </w:hyperlink>
            <w:hyperlink w:anchor="i0c2782c1f31a45ce896cbb30586f8bc6_106">
              <w:r>
                <w:rPr>
                  <w:rStyle w:val="InternetLink"/>
                  <w:rFonts w:ascii="Times New Roman;serif" w:hAnsi="Times New Roman;serif"/>
                  <w:b w:val="false"/>
                  <w:color w:val="000080"/>
                  <w:sz w:val="20"/>
                  <w:u w:val="single"/>
                </w:rPr>
                <w:t>16</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2782c1f31a45ce896cbb30586f8bc6_109">
              <w:r>
                <w:rPr>
                  <w:rStyle w:val="InternetLink"/>
                  <w:rFonts w:ascii="Times New Roman;serif" w:hAnsi="Times New Roman;serif"/>
                  <w:b w:val="false"/>
                  <w:color w:val="0000FF"/>
                  <w:sz w:val="20"/>
                  <w:u w:val="single"/>
                </w:rPr>
                <w:t>INCORPORATION OF CERTAIN DOCUMENTS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2782c1f31a45ce896cbb30586f8bc6_109">
              <w:r>
                <w:rPr>
                  <w:rStyle w:val="InternetLink"/>
                  <w:rFonts w:ascii="Times New Roman;serif" w:hAnsi="Times New Roman;serif"/>
                  <w:b w:val="false"/>
                  <w:color w:val="000080"/>
                  <w:sz w:val="20"/>
                  <w:u w:val="single"/>
                </w:rPr>
                <w:t>S-</w:t>
              </w:r>
            </w:hyperlink>
            <w:hyperlink w:anchor="i0c2782c1f31a45ce896cbb30586f8bc6_109">
              <w:r>
                <w:rPr>
                  <w:rStyle w:val="InternetLink"/>
                  <w:rFonts w:ascii="Times New Roman;serif" w:hAnsi="Times New Roman;serif"/>
                  <w:b w:val="false"/>
                  <w:color w:val="000080"/>
                  <w:sz w:val="20"/>
                  <w:u w:val="single"/>
                </w:rPr>
                <w:t>16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 SUPPLEMENT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is part of a shelf registration statement on Form S-3 that we filed with the Securities and Exchange Commission (the “SEC”). Under this shelf registration process, we may sell any combination of the securities described in our base prospectus included in the shelf registration statement in one or more offerings up to a total aggregate offering price of $300,000,000. The $125,000,000 of common stock that may be offered, issued and sold under this prospectus is included in the $300,000,000 of securities that may be offered, issued and sold by us pursuant to our shelf registration statement.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rely only on the information contained in, or incorporated by reference into, this prospectus supplement, the accompanying prospectus and in any free writing prospectus that we may authorize for use in connection with this offering. We have not, and TD Cowen has not, authorized any other person to provide you with different or additional information. If anyone provides you with different or inconsistent information, you should not rely on it. We are not, and TD Cowen is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 of this prospectus supplement entitled “Incorporation of Certain Documents by Reference” and in the section of the accompanying base prospectus entitled “Where You Can Find More Information.”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offering to sell, and seeking offers to buy, shares of common stock only in jurisdictions where offers and sales are permitted. The distribution of this prospectus supplement and the offering of our common stock in certain jurisdictions may be restricted by law. Persons outside the United States who come into possession of this prospectus supplement must inform themselves about, and observe any restrictions relating to, the offering of our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this prospectus supplement, unless the context otherwise requires, the terms “Nautilus Biotechnology,” “Nautilus,” “Company,” “we,” “us,” “our” and similar terms refer to Nautilus Biotechnology, Inc., a Delaware corporation, and where appropriate, our wholly-owned subsidiaries.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and the information incorporated herein or therein by reference include trademarks, service marks and trade names owned by us or other companies. Solely for convenience, trademarks, service marks, and trade names,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 this prospectus supplement are the property of their respective owners.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MARKET, INDUSTRY AND OTHER DATA</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obtained the industry and market data used throughout this prospectus supplement, the accompanying prospectus and the documents incorporated by reference herein and therein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supplement, the accompanying prospectus and the documents incorporated by reference herein and therein is reliable and based on reasonable assumptions, such data involve material risks and other uncertainties and are subject to change based on various factors, including those discussed in the section entitled “</w:t>
      </w:r>
      <w:r>
        <w:rPr>
          <w:rFonts w:ascii="Times New Roman;serif" w:hAnsi="Times New Roman;serif"/>
          <w:b w:val="false"/>
          <w:i/>
          <w:color w:val="000000"/>
          <w:sz w:val="20"/>
        </w:rPr>
        <w:t>Risk Factors</w:t>
      </w:r>
      <w:r>
        <w:rPr>
          <w:rFonts w:ascii="Times New Roman;serif" w:hAnsi="Times New Roman;serif"/>
          <w:b w:val="false"/>
          <w:color w:val="000000"/>
          <w:sz w:val="20"/>
        </w:rPr>
        <w:t>.” These and other factors could cause results to differ materially from those expressed in the estimates made by the independent parties or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PROSPECTUS SUPPLEMENT SUMMARY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summary highlights selected information contained elsewhere in this prospectus supplement or incorporated by reference in this prospectus supplement, and does not contain all of the information that you need to consider in making your investment decision. You should carefully read this entire prospectus supplement, the accompanying prospectus and any related free writing prospectus, including the risks of investing in our securities discussed under the heading “Risk Factors” contained in this prospectus supplement and any related free writing prospectus, and under similar headings in the other documents that are incorporated by reference into this prospectus supplement and the accompanying base prospectus. You should also carefully read the information incorporated by reference into this prospectus supplement, including our financial statements, and the exhibits to the registration statement of which this prospectus supplement is a part.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are a development stage life sciences company focused on creating a platform technology to quantify and unlock the complexity of the proteome. We were founded to address longstanding challenges in proteomics through the development of a new measurement method, Iterative Mapping, for the analysis of single, intact protein molecules at scale. Our mission is to transform the field of proteomics by broadening access to high-quality proteomic data and to help support fundamental advancements across human health and medicine. Iterative Mapping is designed to enable broad and deep characterization of the proteome while delivering high reproducibility through direct single molecule counting. By repeatedly interrogating individual protein molecules and aggregating results across billions of measurements, Iterative Mapping generates digital protein counts that are intended to support consistent comparison across samples, experiments, and time.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is designed to implement the Iterative Mapping method. The Nautilus Voyager platform integrates nanofabricated protein arrays, affinity reagent probing, advanced optics and fluidics, and machine learning–based analysis into an end-to-end workflow inclusive of instrumentation, consumables, and software.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Implications of Being a Smaller Reporting Company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 “smaller reporting company” as defined in the Exchange Act.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Corporate Information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were incorporated as a Cayman Islands exempted company in March 2020 as a blank check company under the name ARYA Sciences Acquisition Corp III (“ARYA”). On June 9, 2021, we consummated a business combination (the “Business Combination”) pursuant to the terms of that certain Business Combination Agreement, dated as of February 7, 2021 (the “Business Combination Agreement”), by and among ARYA, Mako Merger Sub, Inc., a Delaware corporation and wholly-owned subsidiary of ARYA, and Nautilus Subsidiary, Inc., a Delaware corporation (f/k/a Nautilus Biotechnology, Inc.). Pursuant to the terms of the Business Combination Agreement,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2701 Eastlake Avenue East, Seattle, Washington 98102, and our telephone number is (206) 333-2001. Our investor relations website is located at https://investors.nautilus.bio/. Information contained on the website is not incorporated by reference into this prospectus supplement or any other filings we make with the SEC.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THE OFFERING </w:t>
      </w:r>
    </w:p>
    <w:tbl>
      <w:tblPr>
        <w:tblW w:w="10205" w:type="dxa"/>
        <w:jc w:val="left"/>
        <w:tblInd w:w="0" w:type="dxa"/>
        <w:tblLayout w:type="fixed"/>
        <w:tblCellMar>
          <w:top w:w="28" w:type="dxa"/>
          <w:left w:w="28" w:type="dxa"/>
          <w:bottom w:w="28" w:type="dxa"/>
          <w:right w:w="28" w:type="dxa"/>
        </w:tblCellMar>
      </w:tblPr>
      <w:tblGrid>
        <w:gridCol w:w="730"/>
        <w:gridCol w:w="459"/>
        <w:gridCol w:w="463"/>
        <w:gridCol w:w="2719"/>
        <w:gridCol w:w="2414"/>
        <w:gridCol w:w="3420"/>
      </w:tblGrid>
      <w:tr>
        <w:trPr/>
        <w:tc>
          <w:tcPr>
            <w:tcW w:w="73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3420"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Offered by Us</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common stock having an aggregate offering price of up to $125,000,000.</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After this Offering</w:t>
            </w:r>
          </w:p>
        </w:tc>
        <w:tc>
          <w:tcPr>
            <w:tcW w:w="8553"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Up to 238,831,782 shares of our common stock, based on </w:t>
            </w:r>
            <w:r>
              <w:rPr>
                <w:rFonts w:ascii="Times New Roman;serif" w:hAnsi="Times New Roman;serif"/>
                <w:b w:val="false"/>
                <w:color w:val="000000"/>
                <w:sz w:val="20"/>
                <w:shd w:fill="FFFFFF" w:val="clear"/>
              </w:rPr>
              <w:t>127,224,640</w:t>
            </w:r>
            <w:r>
              <w:rPr>
                <w:color w:val="000000"/>
              </w:rPr>
              <w:t xml:space="preserve"> </w:t>
            </w:r>
            <w:r>
              <w:rPr>
                <w:rFonts w:ascii="Times New Roman;serif" w:hAnsi="Times New Roman;serif"/>
                <w:b w:val="false"/>
                <w:color w:val="000000"/>
                <w:sz w:val="20"/>
              </w:rPr>
              <w:t>shares of common stock outstanding as of June 30, 2026, and assuming sales of 111,607,142 shares of our common stock in this offering at a price of $1.12 per share, which was the closing price of our common stock on Nasdaq on September 9, 2026. The actual number of shares issued will vary depending on the sales price under this offering.</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Manner of Offering</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color w:val="000000"/>
                <w:sz w:val="20"/>
              </w:rPr>
              <w:t>At the market” offering that may be made from time to time through our sales agent, TD Cowen. See “</w:t>
            </w:r>
            <w:hyperlink w:anchor="i0c2782c1f31a45ce896cbb30586f8bc6_97">
              <w:r>
                <w:rPr>
                  <w:rStyle w:val="InternetLink"/>
                  <w:rFonts w:ascii="Times New Roman;serif" w:hAnsi="Times New Roman;serif"/>
                  <w:b w:val="false"/>
                  <w:color w:val="0000FF"/>
                  <w:sz w:val="20"/>
                  <w:u w:val="single"/>
                </w:rPr>
                <w:t>Plan of Distribution</w:t>
              </w:r>
            </w:hyperlink>
            <w:r>
              <w:rPr>
                <w:color w:val="000000"/>
              </w:rPr>
              <w:t xml:space="preserve">” </w:t>
            </w:r>
            <w:r>
              <w:rPr>
                <w:rFonts w:ascii="Times New Roman;serif" w:hAnsi="Times New Roman;serif"/>
                <w:b w:val="false"/>
                <w:color w:val="000000"/>
                <w:sz w:val="20"/>
              </w:rPr>
              <w:t xml:space="preserve">on page </w:t>
            </w:r>
            <w:hyperlink w:anchor="i0c2782c1f31a45ce896cbb30586f8bc6_97">
              <w:r>
                <w:rPr>
                  <w:rStyle w:val="InternetLink"/>
                  <w:rFonts w:ascii="Times New Roman;serif" w:hAnsi="Times New Roman;serif"/>
                  <w:b w:val="false"/>
                  <w:color w:val="000080"/>
                  <w:sz w:val="20"/>
                  <w:u w:val="single"/>
                </w:rPr>
                <w:t>S-</w:t>
              </w:r>
            </w:hyperlink>
            <w:hyperlink w:anchor="i0c2782c1f31a45ce896cbb30586f8bc6_97">
              <w:r>
                <w:rPr>
                  <w:rStyle w:val="InternetLink"/>
                  <w:rFonts w:ascii="Times New Roman;serif" w:hAnsi="Times New Roman;serif"/>
                  <w:b w:val="false"/>
                  <w:color w:val="000080"/>
                  <w:sz w:val="20"/>
                  <w:u w:val="single"/>
                </w:rPr>
                <w:t>13</w:t>
              </w:r>
            </w:hyperlink>
            <w:r>
              <w:rPr>
                <w:color w:val="000000"/>
              </w:rPr>
              <w:t xml:space="preserve"> </w:t>
            </w:r>
            <w:r>
              <w:rPr>
                <w:rFonts w:ascii="Times New Roman;serif" w:hAnsi="Times New Roman;serif"/>
                <w:b w:val="false"/>
                <w:color w:val="000000"/>
                <w:sz w:val="20"/>
              </w:rPr>
              <w:t>of this prospectus supplement.</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shd w:fill="FFFFFF" w:val="clear"/>
              </w:rPr>
              <w:t>Our management will retain broad discretion regarding the allocation and use of the net proceeds from this offering. We currently intend to use the net proceeds from this offering, if any, for general corporate purposes and working capital, including for continued product development of our proteomics platform, other research and development activities, and commercialization of our proteomics platform. See “</w:t>
            </w:r>
            <w:hyperlink w:anchor="i0c2782c1f31a45ce896cbb30586f8bc6_88">
              <w:r>
                <w:rPr>
                  <w:rStyle w:val="InternetLink"/>
                  <w:rFonts w:ascii="Times New Roman;serif" w:hAnsi="Times New Roman;serif"/>
                  <w:b w:val="false"/>
                  <w:color w:val="0000FF"/>
                  <w:sz w:val="20"/>
                  <w:u w:val="single"/>
                  <w:shd w:fill="FFFFFF" w:val="clear"/>
                </w:rPr>
                <w:t>Use of Proceeds</w:t>
              </w:r>
            </w:hyperlink>
            <w:r>
              <w:rPr>
                <w:color w:val="000000"/>
                <w:shd w:fill="FFFFFF" w:val="clear"/>
              </w:rPr>
              <w:t xml:space="preserve">” </w:t>
            </w:r>
            <w:r>
              <w:rPr>
                <w:rFonts w:ascii="Times New Roman;serif" w:hAnsi="Times New Roman;serif"/>
                <w:b w:val="false"/>
                <w:color w:val="000000"/>
                <w:sz w:val="20"/>
                <w:shd w:fill="FFFFFF" w:val="clear"/>
              </w:rPr>
              <w:t xml:space="preserve">on page </w:t>
            </w:r>
            <w:hyperlink w:anchor="i0c2782c1f31a45ce896cbb30586f8bc6_88">
              <w:r>
                <w:rPr>
                  <w:rStyle w:val="InternetLink"/>
                  <w:rFonts w:ascii="Times New Roman;serif" w:hAnsi="Times New Roman;serif"/>
                  <w:b w:val="false"/>
                  <w:color w:val="000080"/>
                  <w:sz w:val="20"/>
                  <w:u w:val="single"/>
                  <w:shd w:fill="FFFFFF" w:val="clear"/>
                </w:rPr>
                <w:t>S-</w:t>
              </w:r>
            </w:hyperlink>
            <w:hyperlink w:anchor="i0c2782c1f31a45ce896cbb30586f8bc6_88">
              <w:r>
                <w:rPr>
                  <w:rStyle w:val="InternetLink"/>
                  <w:rFonts w:ascii="Times New Roman;serif" w:hAnsi="Times New Roman;serif"/>
                  <w:b w:val="false"/>
                  <w:color w:val="000080"/>
                  <w:sz w:val="20"/>
                  <w:u w:val="single"/>
                  <w:shd w:fill="FFFFFF" w:val="clear"/>
                </w:rPr>
                <w:t>10</w:t>
              </w:r>
            </w:hyperlink>
            <w:r>
              <w:rPr>
                <w:color w:val="000000"/>
                <w:shd w:fill="FFFFFF" w:val="clear"/>
              </w:rPr>
              <w:t xml:space="preserve"> </w:t>
            </w:r>
            <w:r>
              <w:rPr>
                <w:rFonts w:ascii="Times New Roman;serif" w:hAnsi="Times New Roman;serif"/>
                <w:b w:val="false"/>
                <w:color w:val="000000"/>
                <w:sz w:val="20"/>
                <w:shd w:fill="FFFFFF" w:val="clear"/>
              </w:rPr>
              <w:t xml:space="preserve">of this prospectus </w:t>
            </w:r>
            <w:r>
              <w:rPr>
                <w:rFonts w:ascii="Times New Roman;serif" w:hAnsi="Times New Roman;serif"/>
                <w:b w:val="false"/>
                <w:color w:val="000000"/>
                <w:sz w:val="20"/>
              </w:rPr>
              <w:t>supplement</w:t>
            </w:r>
            <w:r>
              <w:rPr>
                <w:rFonts w:ascii="Times New Roman;serif" w:hAnsi="Times New Roman;serif"/>
                <w:b w:val="false"/>
                <w:color w:val="000000"/>
                <w:sz w:val="20"/>
                <w:shd w:fill="FFFFFF" w:val="clear"/>
              </w:rPr>
              <w:t>.</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Investing in our common stock involves a high degree of risk. See “</w:t>
            </w:r>
            <w:hyperlink w:anchor="i0c2782c1f31a45ce896cbb30586f8bc6_82">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 xml:space="preserve">beginning on page </w:t>
            </w:r>
            <w:hyperlink w:anchor="i0c2782c1f31a45ce896cbb30586f8bc6_82">
              <w:r>
                <w:rPr>
                  <w:rStyle w:val="InternetLink"/>
                  <w:rFonts w:ascii="Times New Roman;serif" w:hAnsi="Times New Roman;serif"/>
                  <w:b w:val="false"/>
                  <w:color w:val="000080"/>
                  <w:sz w:val="20"/>
                  <w:u w:val="single"/>
                </w:rPr>
                <w:t>S-</w:t>
              </w:r>
            </w:hyperlink>
            <w:hyperlink w:anchor="i0c2782c1f31a45ce896cbb30586f8bc6_82">
              <w:r>
                <w:rPr>
                  <w:rStyle w:val="InternetLink"/>
                  <w:rFonts w:ascii="Times New Roman;serif" w:hAnsi="Times New Roman;serif"/>
                  <w:b w:val="false"/>
                  <w:color w:val="000080"/>
                  <w:sz w:val="20"/>
                  <w:u w:val="single"/>
                </w:rPr>
                <w:t>6</w:t>
              </w:r>
            </w:hyperlink>
            <w:r>
              <w:rPr>
                <w:color w:val="000000"/>
              </w:rPr>
              <w:t xml:space="preserve"> </w:t>
            </w:r>
            <w:r>
              <w:rPr>
                <w:rFonts w:ascii="Times New Roman;serif" w:hAnsi="Times New Roman;serif"/>
                <w:b w:val="false"/>
                <w:color w:val="000000"/>
                <w:sz w:val="20"/>
              </w:rPr>
              <w:t>of this prospectus supplement and the other information included in, or incorporated by reference into, this prospectus supplement for a discussion of certain factors that you should carefully consider before deciding to invest in shares of our common stock.</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Capital Market symbol</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NAUT”</w:t>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number of shares of common stock to be outstanding after this offering is based on </w:t>
      </w:r>
      <w:r>
        <w:rPr>
          <w:rFonts w:ascii="Times New Roman;serif" w:hAnsi="Times New Roman;serif"/>
          <w:b w:val="false"/>
          <w:color w:val="000000"/>
          <w:sz w:val="20"/>
          <w:shd w:fill="FFFFFF" w:val="clear"/>
        </w:rPr>
        <w:t xml:space="preserve">127,224,640 </w:t>
      </w:r>
      <w:r>
        <w:rPr>
          <w:rFonts w:ascii="Times New Roman;serif" w:hAnsi="Times New Roman;serif"/>
          <w:b w:val="false"/>
          <w:color w:val="000000"/>
          <w:sz w:val="20"/>
        </w:rPr>
        <w:t>shares of common stock outstanding as of June 30, 2026 and excludes, in each case as of June 30,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3,581,654 shares of our common stock issuable upon the exercise of stock options to purchase shares of common stock under the Nautilus Subsidiary, Inc. 2017 Equity Incentive Plan (the “2017 Plan”), with a weighted average exercise price of $4.95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15,709,683 shares of our common stock issuable upon the exercise of stock options to purchase shares of common stock under our 2021 Equity Incentive Plan (the “2021 Plan”), with a weighted average exercise price of $2.70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195,500 shares of common stock issuable upon the exercise of stock options granted subsequent to June 30, 2026, with a weighted average exercise price of $1.42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32,974,336 shares of common stock reserved for future issuance under our 2021 Plan, and any future automatic increase in shares reserved for issuance under such plan;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6,697,982 shares of common stock reserved for future issuance under our 2021 Employee Stock Purchase Plan (the “2021 ESPP”), and any future automatic increase in shares reserved for issuance under such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all information in this prospectus supplement assumes no exercise of outstanding options after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in our common stock involves risk. You should carefully consider the specific risks discussed below, together with all the other information contained in the prospectus supplement, accompanying prospectus or incorporated by reference into this prospectus supplement. You should also consider the risks, uncertainties and assumptions discussed under the caption “Risk Factors” included in our Quarterly Report on Form 10-Q for the quarter ended June 30, 2026 and in subsequent filings, which are incorporated by reference into this prospectus supplement. These risk factors may be amended, supplemented or superseded from time to time by other reports we file with the SEC in the future.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additional risks and uncertainties actually occur, our business, financial condition and results of operations could be materially and adversely affected. In that case, the trading price of our securities could decline and you might lose all or part of your investment.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This Offering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have broad discretion in the use of the net proceeds from this offering.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will have broad discretion in the application of the net proceeds from this offering and could spend the proceeds in ways with which you may not agree. Accordingly, you will be relying on the judgment of our management with regard to the use of the net proceeds, and you will not have the opportunity, as part of your investment decision, to assess whether the proceeds are being used appropriately. It is possible that the net proceeds will be invested or otherwise used in a way that does not yield a favorable, or any, return for us.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Investors in this offering may experience immediate and substantial dilution in the net tangible book value per share of the common stock they purchase.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sold in this offering, if any, will be sold from time to time at various prices. The price per share of our common stock being offered may be higher than the net tangible book value per share of our common stock, and as such, you may suffer substantial dilution in the net tangible book value of the common stock you purchase in this offering. In addition, we have a number of options outstanding. If the holders of these options exercise such options, you may incur further dilution.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stockholders may experience significant dilution as a result of future equity offerings and exercise of outstanding options.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a number of securities outstanding allowing the purchase of our common stock. As of June 30, 2026, 32,974,336 shares of our common stock were reserved for future issuance under our 2021 Plan and 6,697,982 shares of our common stock were reserved for future issuance under our 2021 ESPP. As of June 30, 2026, there were also options to purchase 19,291,337 shares of our common stock outstanding. The exercise of outstanding options having an exercise price per share that is less than the offering price per share in this offering will result in dilution to investors in this offering.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It is not possible to predict the actual number of shares we will sell under the sales agreement or aggregate proceeds resulting from sales made under the sales agreement.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certain limitations in the sales agreement and compliance with applicable law, we have the discretion to deliver a placement notice to TD Cowen at any time throughout the term of the sales agreement. The number of shares that are sold through or to TD Cowen after delivering a placement notice will fluctuate based on a number of factors, including the market price of our common stock during the sales period, any limits we may set with TD Cowen in any applicable placement notice and the demand for our common stock. Because the price per share of each share sold pursuant to the sales agreement will fluctuate over time, it is not currently possible to predict the actual number of shares that will be sold or the aggregate proceeds to be raised in connection with sales under the sales agreement.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common stock offered hereby will be sold in “at-the-market offerings” and investors who buy shares at different times will likely pay different prices.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do not intend to pay dividends on our common stock, so any returns will be limited to the value of our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cash dividends on shares of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Any statements contained herein that are not statements of historical facts may be deemed to be forward-looking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terminology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about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dependence on the success of our proteomics platform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which remains in the development stage and subject to scientific and technical validation;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timing and progress of the development of the Nautilus Voyager platform (including our broadscale assay) and any commercialization timeline;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functionality of the Nautilus Voyager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estimates of our addressable market, market growth, future revenue, key performance indicators, expenses, capital requirements and needs for additional financing;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rate and degree of market acceptance of the Nautilus Voyager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the Nautilus Voyager platform on the field of proteomics and the size and growth of the addressable proteomics market;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and grow our business and commercialize our Nautilus Voyager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implement our three phase commercial launch plan;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implementation of our business model and strategic plans for the Nautilus Voyager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establish and maintain intellectual property protection for our products or avoid or defend claims of infringement;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performance of third-party partners, manufacturers and suppliers;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raise financing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success in retaining or recruiting, or changes required in, our officers, key employees or directors or other key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volatility of the trading price of our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and commercialize new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be in compliance with the Nasdaq Listing Rules, and maintain the listing of our public securities on The Nasdaq Stock Market LLC;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about market trends;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local, regional, national and international economic conditions and events, volatility in the global financial markets and general economic downturns, on the foregoing;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factors including but not limited to those detailed under the section entitled “Risk Factors.”</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These statements are based on management’s current expectations, estimates, forecasts and projections about our business and industry, are not guarantees of future performance and involve known and unknown risks, uncertainties and other factors that are in some cases beyond our control, and that may cause our actual results, levels of activity, performance or achievements to be materially different from those anticipated by the forward-looking statements. We discuss many of these risks in greater detail in the section entitled “Risk Factors” and elsewhere in this prospectus supplement. You should read these factors and the other cautionary statements made in this prospectus supplement as being applicable to all related forward-looking statements wherever they appear herein or therein. If one or more of these factors materialize, or if any underlying assumptions prove incorrect, our actual results, levels of activity, performance, or achievements may vary materially from any future results, activity, performance, or achievements expressed or implied by these forward-looking statements. We caution readers not to place undue reliance on any forward-looking statements made by us, which speak only as of the date they were made. We undertake no obligation to publicly update any forward-looking statements after the date of this prospectus supplement, whether as a result of new information, future events or otherwise, except as required by law.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prospectus supplement, the accompanying prospectus and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and sell shares of our common stock having an aggregate sales proceeds of up to $125,000,000 from time to time under this prospectus supplement. The amount of proceeds from this offering will depend upon the number of shares of our common stock sold and the market price at which they are sold. There can be no assurance that we will be able to sell any shares under, or fully utilize, the sales agreement with TD Cowen as a source of financing.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this prospectus supplement, we cannot predict with certainty all of the particular uses for the net proceeds to be received. We currently intend to use the net proceeds from this offering, if any, for general corporate purposes and working capital, including for continued product development of our proteomics platform, other research and development activities, and commercialization of our proteomics platform. The amounts and timing of our actual expenditures and the extent of our research and development activities may vary significantly depending on numerous factors, including the actual net proceeds from this offering (which will depend on the market price of our common stock during the sales period, any limits we may set with TD Cowen in any applicable placement notice and the demand for our common stock), the progress of our development efforts, the timing and costs associated with the manufacture and supply of any of our product candidates and any unforeseen cash needs, including the factors described under “Risk Factors” in this prospectus supplement and in the documents incorporated by reference herein. As a result, our management will have broad discretion over the use of the net proceeds from this offering.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Pending the uses described above, we intend to invest the net proceeds from this offering in interest-bearing, investment-grade securities, certificates of deposit or government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never declared or paid any cash dividends on shares of our common stock. We anticipate that we will retain all of our future earnings to advance the development of expansion of our business, and do not anticipate paying any cash dividends on shares of our common stock in the foreseeable future. Any future determination to declare cash dividends on shares of our common stock will be made at the discretion of our board of directors, subject to applicable law and contractual restrictions and will depend on its financial condition, results of operations, capital requirements, general business conditions and other factors that our board of directors may deem relevant.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DILUTION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net tangible book value as of June 30, 2026, was approximately $131.1 million, or $1.03 per share. Net tangible book value per share is determined by dividing our total tangible assets, less total liabilities, by the number of shares of our common stock outstanding as of June 30, 2026.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After giving effect to the sale of our common stock in the aggregate amount of $125.0 million in this offering at an assumed offering price of $1.12, the last reported sale price of our common stock on Nasdaq on September 9, 2026, and after deducting commissions and estimated aggregate offering expenses payable by us, our as adjusted net tangible book value as of June 30, 2026, would have been approximately $251.8 million, or $1.05 per share. This represents an immediate increase in net tangible book value of $0.02 per share to existing stockholders and immediate dilution in net tangible book value of $0.07 per share to new investors purchasing our common stock in this offering. The following table illustrates this dilution on a per share basis:</w:t>
      </w:r>
    </w:p>
    <w:tbl>
      <w:tblPr>
        <w:tblW w:w="10205" w:type="dxa"/>
        <w:jc w:val="left"/>
        <w:tblInd w:w="0" w:type="dxa"/>
        <w:tblLayout w:type="fixed"/>
        <w:tblCellMar>
          <w:top w:w="28" w:type="dxa"/>
          <w:left w:w="28" w:type="dxa"/>
          <w:bottom w:w="28" w:type="dxa"/>
          <w:right w:w="28" w:type="dxa"/>
        </w:tblCellMar>
      </w:tblPr>
      <w:tblGrid>
        <w:gridCol w:w="2989"/>
        <w:gridCol w:w="2580"/>
        <w:gridCol w:w="2601"/>
        <w:gridCol w:w="211"/>
        <w:gridCol w:w="511"/>
        <w:gridCol w:w="109"/>
        <w:gridCol w:w="109"/>
        <w:gridCol w:w="109"/>
        <w:gridCol w:w="109"/>
        <w:gridCol w:w="211"/>
        <w:gridCol w:w="511"/>
        <w:gridCol w:w="155"/>
      </w:tblGrid>
      <w:tr>
        <w:trPr/>
        <w:tc>
          <w:tcPr>
            <w:tcW w:w="2989"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public offering price per share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tangible book value per share as of June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new investors purchasing shares of common stock in this offering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as of June 30, 2026, after giving effect to this offering</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Dilution per share to investors purchasing our common stock in this offering</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The dilution per share in the table above is illustrative only and will adjust based on the actual price to the public, the actual number of shares sold and other terms of the offering determined at the time shares of our common stock are sold pursuant to this prospectus supplement.</w:t>
      </w:r>
      <w:r>
        <w:rPr>
          <w:color w:val="000000"/>
        </w:rPr>
        <w:t xml:space="preserve"> </w:t>
      </w:r>
      <w:r>
        <w:rPr>
          <w:rFonts w:ascii="Times New Roman;serif" w:hAnsi="Times New Roman;serif"/>
          <w:b w:val="false"/>
          <w:color w:val="000000"/>
          <w:sz w:val="20"/>
        </w:rPr>
        <w:t>The shares sold in this offering, if any, will be sold from time to time at various prices.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that outstanding options are exercised, investors purchasing our common stock in this offering will experience further dilution. In addition, to the extent that we raise additional capital through the sale of equity or convertible debt securities, the issuance of these securities could result in further dilution to our stockholders.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above table and discussion of shares of our common stock that will be outstanding after this offering is based on </w:t>
      </w:r>
      <w:r>
        <w:rPr>
          <w:rFonts w:ascii="Times New Roman;serif" w:hAnsi="Times New Roman;serif"/>
          <w:b w:val="false"/>
          <w:color w:val="000000"/>
          <w:sz w:val="20"/>
          <w:shd w:fill="FFFFFF" w:val="clear"/>
        </w:rPr>
        <w:t>127,224,640</w:t>
      </w:r>
      <w:r>
        <w:rPr>
          <w:color w:val="000000"/>
        </w:rPr>
        <w:t xml:space="preserve"> </w:t>
      </w:r>
      <w:r>
        <w:rPr>
          <w:rFonts w:ascii="Times New Roman;serif" w:hAnsi="Times New Roman;serif"/>
          <w:b w:val="false"/>
          <w:color w:val="000000"/>
          <w:sz w:val="20"/>
        </w:rPr>
        <w:t>shares of our common stock outstanding as of June 30, 2026, and excludes, in each case as of June 30,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3,581,654 shares of our common stock issuable upon the exercise of stock options to purchase shares of common stock under the 2017 Plan, with a weighted average exercise price of $4.95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15,709,683 shares of our common stock issuable upon the exercise of stock options to purchase shares of common stock under our 2021 Plan, with a weighted average exercise price of $2.70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195,500 shares of common stock issuable upon the exercise of stock options granted subsequent to June 30, 2026, with a weighted average exercise price of $1.42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32,974,336 shares of common stock reserved for future issuance under our 2021 Plan, and any future automatic increase in shares reserved for issuance under such plan;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6,697,982 shares of common stock reserved for future issuance under our 2021 ESPP, and any future automatic increase in shares reserved for issuance under such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all information in this prospectus supplement assumes no exercise of outstanding options after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PLAN OF DISTRIBUTION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into a sales agreement with TD Cowen, under which we may issue and sell from time to time up to $125,000,000 of our common stock through or to TD Cowen as our sales agent or principal. Sales of our common stock, if any, will be made in negotiated transactions, including block trades or block sales, or by any method permitted by law deemed to be an “at the market offering” as defined in Rule 415 under the Securities Act, including without limitation sales made through Nasdaq or on any other existing trading market for our common stock, or by any other method permitted by law. Sales pursuant to the sales agreement may be made through an affiliate of TD Cowen.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aggregate compensation payable to TD Cowen as sales agent equals up to 3.0% of the gross sales price of the shares sold through it pursuant to the sales agreement. We have also agreed to reimburse TD Cowen up to $100,000 of TD Cowen’s actual outside legal expenses incurred by TD Cowen in connection with the execution of the Sales Agreement. We estimate that the total expenses of the offering payable by us, excluding commissions payable to TD Cowen under the sales agreement, will be approximately $0.6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TD Cowen will provide written confirmation to us following the close of trading on The Nasdaq Capital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report at least quarterly the number of shares of common stock sold through TD Cowen under the sales agreement and the net proceeds to us in connection with the sales of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escrow, trust or similar arrangement.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sales of our common stock on our behalf, TD Cowen may be deemed to be an “underwriter” within the meaning of the Securities Act, and the compensation paid to TD Cowen may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Capital Market and trades under the symbol “NAUT.” The transfer agent of our common stock is Computershare Trust Company, N.A.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TD Cowen and/or its affiliates have provided, and may in the future provide, various investment banking, commercial banking and other financial services for us and our affiliates for which they have received, and may in the future receive, customary fees. TD Cowen and certain of its affiliates are full service financial institutions engaged in various activities, which may include securities trading, commercial and investment banking, financial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advisory, investment management, investment research, principal investment, hedging, financing and brokerage activities. In the ordinary course of their various business activities, TD Cowen and certain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TD Cowen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Certain legal matters in connection with the shares of common stock offered hereby will be passed upon for us by Wilson Sonsini Goodrich &amp; Rosati, Professional Corporation, Palo Alto, California. </w:t>
      </w:r>
      <w:r>
        <w:rPr>
          <w:rFonts w:ascii="Times New Roman;serif" w:hAnsi="Times New Roman;serif"/>
          <w:b w:val="false"/>
          <w:color w:val="000000"/>
          <w:sz w:val="20"/>
          <w:shd w:fill="FFFFFF" w:val="clear"/>
        </w:rPr>
        <w:t>Certain members of, and investment partnerships comprised of members of, and persons associated with, Wilson Sonsini Goodrich &amp; Rosati, Professional Corporation, directly or indirectly own less than 0.2% of the outstanding shares of our common stock.</w:t>
      </w:r>
      <w:r>
        <w:rPr>
          <w:color w:val="000000"/>
        </w:rPr>
        <w:t xml:space="preserve"> </w:t>
      </w:r>
      <w:r>
        <w:rPr>
          <w:rFonts w:ascii="Times New Roman;serif" w:hAnsi="Times New Roman;serif"/>
          <w:b w:val="false"/>
          <w:color w:val="000000"/>
          <w:sz w:val="20"/>
        </w:rPr>
        <w:t xml:space="preserve">TD Cowen is being represented in connection with this offering by Goodwin Procter LLP, New York, New York.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EXPERTS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incorporated in this prospectus supplement by reference to the Annual Report on Form 10-K for the year ended December 31, 2025 have been so incorporated in reliance on the report (which contains an emphasis of matter paragraph relating to the Company’s net operating losses and negative cash flows from operations and management’s evaluation of the events and conditions described in Note 1 to the financial statements) of PricewaterhouseCoopers LLP, an independent registered public accounting firm, given on the authority of said firm as experts in auditing and accounting.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https://www.nautilus.bio/. Information accessible on or through our website is not incorporated by reference into this prospectus supplement.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part of a registration statement that we filed with the SEC and does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supplement forms a part or under cover of a Current Report on Form 8-K and incorporated in this prospectus supplement by reference. Statements in this prospectus supplement about these documents are summaries and each statement is qualified in all respects by reference to the document to which it refers. You should read the actual documents for a more complete description of the relevant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INCORPORATION OF CERTAIN DOCUMENTS BY REFERENCE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supplement forms a part is terminated or completed: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w:t>
      </w:r>
      <w:hyperlink r:id="rId16">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 xml:space="preserve">for the year ended December 31, 2025, filed with the SEC on February 26, 2026;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information incorporated by reference into our </w:t>
      </w:r>
      <w:hyperlink r:id="rId17">
        <w:r>
          <w:rPr>
            <w:rStyle w:val="InternetLink"/>
            <w:rFonts w:ascii="Times New Roman;serif" w:hAnsi="Times New Roman;serif"/>
            <w:b w:val="false"/>
            <w:color w:val="0000FF"/>
            <w:sz w:val="20"/>
            <w:u w:val="single"/>
          </w:rPr>
          <w:t>Annual Report</w:t>
        </w:r>
      </w:hyperlink>
      <w:r>
        <w:rPr>
          <w:color w:val="000000"/>
        </w:rPr>
        <w:t xml:space="preserve"> </w:t>
      </w:r>
      <w:r>
        <w:rPr>
          <w:rFonts w:ascii="Times New Roman;serif" w:hAnsi="Times New Roman;serif"/>
          <w:b w:val="false"/>
          <w:color w:val="000000"/>
          <w:sz w:val="20"/>
        </w:rPr>
        <w:t xml:space="preserve">on Form 10-K for the year ended December 31, 2025 from our Definitive Proxy Statement on </w:t>
      </w:r>
      <w:hyperlink r:id="rId18">
        <w:r>
          <w:rPr>
            <w:rStyle w:val="InternetLink"/>
            <w:rFonts w:ascii="Times New Roman;serif" w:hAnsi="Times New Roman;serif"/>
            <w:b w:val="false"/>
            <w:color w:val="0000FF"/>
            <w:sz w:val="20"/>
            <w:u w:val="single"/>
          </w:rPr>
          <w:t>Schedule 14A</w:t>
        </w:r>
      </w:hyperlink>
      <w:r>
        <w:rPr>
          <w:rFonts w:ascii="Times New Roman;serif" w:hAnsi="Times New Roman;serif"/>
          <w:b w:val="false"/>
          <w:color w:val="000000"/>
          <w:sz w:val="20"/>
        </w:rPr>
        <w:t>, filed with the SEC on April 28,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Reports on Form 10-Q for the quarters ended </w:t>
      </w:r>
      <w:hyperlink r:id="rId19">
        <w:r>
          <w:rPr>
            <w:rStyle w:val="InternetLink"/>
            <w:rFonts w:ascii="Times New Roman;serif" w:hAnsi="Times New Roman;serif"/>
            <w:b w:val="false"/>
            <w:color w:val="0000FF"/>
            <w:sz w:val="20"/>
            <w:u w:val="single"/>
          </w:rPr>
          <w:t>March 31, 2026</w:t>
        </w:r>
      </w:hyperlink>
      <w:r>
        <w:rPr>
          <w:color w:val="000000"/>
        </w:rPr>
        <w:t xml:space="preserve"> </w:t>
      </w:r>
      <w:r>
        <w:rPr>
          <w:rFonts w:ascii="Times New Roman;serif" w:hAnsi="Times New Roman;serif"/>
          <w:b w:val="false"/>
          <w:color w:val="000000"/>
          <w:sz w:val="20"/>
        </w:rPr>
        <w:t xml:space="preserve">and </w:t>
      </w:r>
      <w:hyperlink r:id="rId20">
        <w:r>
          <w:rPr>
            <w:rStyle w:val="InternetLink"/>
            <w:rFonts w:ascii="Times New Roman;serif" w:hAnsi="Times New Roman;serif"/>
            <w:b w:val="false"/>
            <w:color w:val="0000FF"/>
            <w:sz w:val="20"/>
            <w:u w:val="single"/>
          </w:rPr>
          <w:t>June 30, 2026</w:t>
        </w:r>
      </w:hyperlink>
      <w:r>
        <w:rPr>
          <w:rFonts w:ascii="Times New Roman;serif" w:hAnsi="Times New Roman;serif"/>
          <w:b w:val="false"/>
          <w:color w:val="000000"/>
          <w:sz w:val="20"/>
        </w:rPr>
        <w:t xml:space="preserve">, filed with the SEC on </w:t>
      </w:r>
      <w:hyperlink r:id="rId21">
        <w:r>
          <w:rPr>
            <w:rStyle w:val="InternetLink"/>
            <w:rFonts w:ascii="Times New Roman;serif" w:hAnsi="Times New Roman;serif"/>
            <w:b w:val="false"/>
            <w:color w:val="0000FF"/>
            <w:sz w:val="20"/>
            <w:u w:val="single"/>
          </w:rPr>
          <w:t>April 28, 2026</w:t>
        </w:r>
      </w:hyperlink>
      <w:r>
        <w:rPr>
          <w:color w:val="000000"/>
        </w:rPr>
        <w:t xml:space="preserve"> </w:t>
      </w:r>
      <w:r>
        <w:rPr>
          <w:rFonts w:ascii="Times New Roman;serif" w:hAnsi="Times New Roman;serif"/>
          <w:b w:val="false"/>
          <w:color w:val="000000"/>
          <w:sz w:val="20"/>
        </w:rPr>
        <w:t xml:space="preserve">and </w:t>
      </w:r>
      <w:hyperlink r:id="rId22">
        <w:r>
          <w:rPr>
            <w:rStyle w:val="InternetLink"/>
            <w:rFonts w:ascii="Times New Roman;serif" w:hAnsi="Times New Roman;serif"/>
            <w:b w:val="false"/>
            <w:color w:val="0000FF"/>
            <w:sz w:val="20"/>
            <w:u w:val="single"/>
          </w:rPr>
          <w:t>July 28, 2026</w:t>
        </w:r>
      </w:hyperlink>
      <w:r>
        <w:rPr>
          <w:rFonts w:ascii="Times New Roman;serif" w:hAnsi="Times New Roman;serif"/>
          <w:b w:val="false"/>
          <w:color w:val="000000"/>
          <w:sz w:val="20"/>
        </w:rPr>
        <w:t>, respectively;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 on Form 8-K filed with the SEC on </w:t>
      </w:r>
      <w:hyperlink r:id="rId23">
        <w:r>
          <w:rPr>
            <w:rStyle w:val="InternetLink"/>
            <w:rFonts w:ascii="Times New Roman;serif" w:hAnsi="Times New Roman;serif"/>
            <w:b w:val="false"/>
            <w:color w:val="0000FF"/>
            <w:sz w:val="20"/>
            <w:u w:val="single"/>
          </w:rPr>
          <w:t>June 18, 2026</w:t>
        </w:r>
      </w:hyperlink>
      <w:r>
        <w:rPr>
          <w:rFonts w:ascii="Times New Roman;serif" w:hAnsi="Times New Roman;serif"/>
          <w:b w:val="false"/>
          <w:color w:val="000000"/>
          <w:sz w:val="20"/>
        </w:rPr>
        <w: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contained in the Registration Statement on </w:t>
      </w:r>
      <w:hyperlink r:id="rId24">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relating thereto, filed with the SEC on August 6, 2020, including any amendment or report filed for the purpose of updating such description.</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may request a copy of these filings, at no cost, by writing or telephoning us at the following address and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Nautilus Biotechnology,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2701 Eastlake Avenue East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Seattle, Washington 98102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Attn: Investor Relations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(206) 333-2001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720"/>
        <w:jc w:val="center"/>
        <w:rPr/>
      </w:pPr>
      <w:r>
        <w:rPr/>
        <w:drawing>
          <wp:inline distT="0" distB="0" distL="0" distR="0">
            <wp:extent cx="1905000" cy="523875"/>
            <wp:effectExtent l="0" t="0" r="0" b="0"/>
            <wp:docPr id="5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 descr=""/>
                    <pic:cNvPicPr>
                      <a:picLocks noChangeAspect="1" noChangeArrowheads="1"/>
                    </pic:cNvPicPr>
                  </pic:nvPicPr>
                  <pic:blipFill>
                    <a:blip r:embed="rId25"/>
                    <a:stretch>
                      <a:fillRect/>
                    </a:stretch>
                  </pic:blipFill>
                  <pic:spPr bwMode="auto">
                    <a:xfrm>
                      <a:off x="0" y="0"/>
                      <a:ext cx="1905000" cy="523875"/>
                    </a:xfrm>
                    <a:prstGeom prst="rect">
                      <a:avLst/>
                    </a:prstGeom>
                  </pic:spPr>
                </pic:pic>
              </a:graphicData>
            </a:graphic>
          </wp:inline>
        </w:drawing>
      </w:r>
    </w:p>
    <w:p>
      <w:pPr>
        <w:pStyle w:val="TextBody"/>
        <w:bidi w:val="0"/>
        <w:spacing w:lineRule="auto" w:line="288" w:before="0" w:after="720"/>
        <w:jc w:val="center"/>
        <w:rPr>
          <w:rFonts w:ascii="Times New Roman;serif" w:hAnsi="Times New Roman;serif"/>
          <w:b/>
          <w:color w:val="000000"/>
          <w:sz w:val="36"/>
        </w:rPr>
      </w:pPr>
      <w:r>
        <w:rPr>
          <w:rFonts w:ascii="Times New Roman;serif" w:hAnsi="Times New Roman;serif"/>
          <w:b/>
          <w:color w:val="000000"/>
          <w:sz w:val="36"/>
        </w:rPr>
        <w:t xml:space="preserve">Up to $125,000,000 </w:t>
      </w:r>
    </w:p>
    <w:p>
      <w:pPr>
        <w:pStyle w:val="TextBody"/>
        <w:bidi w:val="0"/>
        <w:spacing w:lineRule="auto" w:line="288" w:before="0" w:after="1080"/>
        <w:jc w:val="center"/>
        <w:rPr>
          <w:rFonts w:ascii="Times New Roman;serif" w:hAnsi="Times New Roman;serif"/>
          <w:b/>
          <w:color w:val="000000"/>
          <w:sz w:val="28"/>
        </w:rPr>
      </w:pPr>
      <w:r>
        <w:rPr>
          <w:rFonts w:ascii="Times New Roman;serif" w:hAnsi="Times New Roman;serif"/>
          <w:b/>
          <w:color w:val="000000"/>
          <w:sz w:val="28"/>
        </w:rPr>
        <w:t xml:space="preserve">Common Stock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PROSPECTUS SUPPLEMENT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40"/>
        <w:jc w:val="center"/>
        <w:rPr>
          <w:rFonts w:ascii="Times New Roman;serif" w:hAnsi="Times New Roman;serif"/>
          <w:b/>
          <w:color w:val="000000"/>
          <w:sz w:val="32"/>
        </w:rPr>
      </w:pPr>
      <w:r>
        <w:rPr>
          <w:rFonts w:ascii="Times New Roman;serif" w:hAnsi="Times New Roman;serif"/>
          <w:b/>
          <w:color w:val="000000"/>
          <w:sz w:val="32"/>
        </w:rPr>
        <w:t>TD Cowen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400"/>
        <w:jc w:val="center"/>
        <w:rPr>
          <w:color w:val="000000"/>
        </w:rPr>
      </w:pPr>
      <w:r>
        <w:rPr>
          <w:color w:val="000000"/>
        </w:rPr>
        <w:t>      </w:t>
      </w:r>
      <w:r>
        <w:rPr>
          <w:rFonts w:ascii="Times New Roman;serif" w:hAnsi="Times New Roman;serif"/>
          <w:b/>
          <w:color w:val="000000"/>
          <w:sz w:val="20"/>
        </w:rPr>
        <w:t xml:space="preserve">,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5"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14.    Other Expenses of Issuance and Distribution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fees and expenses to be paid by us in connection with the issuance and distribution of the securities being registered, other than discounts and commissions to be paid to agents or underwriters. All amounts shown are estimates except for the Securities and Exchange Commission, or the SEC, registration fee.</w:t>
      </w:r>
    </w:p>
    <w:tbl>
      <w:tblPr>
        <w:tblW w:w="5105" w:type="dxa"/>
        <w:jc w:val="left"/>
        <w:tblInd w:w="0" w:type="dxa"/>
        <w:tblLayout w:type="fixed"/>
        <w:tblCellMar>
          <w:top w:w="28" w:type="dxa"/>
          <w:left w:w="28" w:type="dxa"/>
          <w:bottom w:w="28" w:type="dxa"/>
          <w:right w:w="28" w:type="dxa"/>
        </w:tblCellMar>
      </w:tblPr>
      <w:tblGrid>
        <w:gridCol w:w="1381"/>
        <w:gridCol w:w="1211"/>
        <w:gridCol w:w="1218"/>
        <w:gridCol w:w="137"/>
        <w:gridCol w:w="137"/>
        <w:gridCol w:w="137"/>
        <w:gridCol w:w="255"/>
        <w:gridCol w:w="255"/>
        <w:gridCol w:w="374"/>
      </w:tblGrid>
      <w:tr>
        <w:trPr/>
        <w:tc>
          <w:tcPr>
            <w:tcW w:w="1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br/>
              <w:t>to be Paid</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44,280</w:t>
            </w:r>
            <w:r>
              <w:rPr>
                <w:rFonts w:ascii="Times New Roman;serif" w:hAnsi="Times New Roman;serif"/>
                <w:b w:val="false"/>
                <w:color w:val="000000"/>
                <w:sz w:val="13"/>
              </w:rPr>
              <w:t>(1)</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exchange listing fee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Printing and engraving expenses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 agent and registrar fees and expenses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Trustee’s fees and expenses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Miscellaneous expenses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    In accordance with Rule 415(a)(6) under the Securities Act, the filing fee previously paid in connection with the securities registered in the registration statement on Form S-3 (File No. 333-277437), all of which remain unsold, will continue to be carried forward and applied to the securities registered under this registration statement. Please see the registration fee table contained in Exhibit 107 to this registration statement for more information.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*These fees and expenses are calculated based on the securities offered and the number of issuances and accordingly cannot be estimated at this time.</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Section 145 of the Delaware General Corporation Law authorizes a corporation’s board of directors to grant, and authorizes a court to award, indemnity to officers, directors and other corporate agents.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Our certificate of incorporation contains provisions that limit the liability of our directors for monetary damages to the fullest extent permitted by the Delaware </w:t>
      </w:r>
      <w:r>
        <w:rPr>
          <w:rFonts w:ascii="Times New Roman;serif" w:hAnsi="Times New Roman;serif"/>
          <w:b w:val="false"/>
          <w:color w:val="000000"/>
          <w:sz w:val="20"/>
        </w:rPr>
        <w:t>General Corporation Law. Consequently, our directors will not be personally liable to us or our stockholders for monetary damages for any breach of fiduciary duties as directors, except liability for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breach of their duty of loyalty to us or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act or omission not in good faith or that involves intentional misconduct or a knowing violation of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unlawful payments of dividends or unlawful stock repurchases or redemptions as provided in Section 174 of the Delaware General Corporation Law;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transaction from which they derived an improper personal benefit.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amendment, repeal or elimination of these provisions will not eliminate or reduce the effect of these provisions in respect of any act, omission or claim that occurred or arose prior to that amendment, repeal or elimination.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bylaws provide that we will indemnify our directors and officers, and may indemnify our employees, agents and any other persons, to the fullest extent permitted by the Delaware General Corporation Law. Our bylaws also provide that we must advance expenses incurred by or on behalf of a director or officer in advance of the final disposition of any action or proceeding, subject to limited exceptions.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we have entered into indemnification agreements with each of our directors and executive officers that may be broader than the specific indemnification provisions contained in the Delaware General Corporation Law.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limitation of liability and indemnification provisions in our certificate of incorporation, bylaws and indemnification agreements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our directors and officers as required by these indemnification provisions.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obtained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our directors and officers pursuant to our indemnification obligations or otherwise as a matter of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of our non-employee directors may, through their relationships with their employers, be insured or indemnified against certain liabilities incurred in their capacity as members of our board of directors.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underwriting agreement to be filed as Exhibit 1.1 to this registration statement may provide for indemnification by the underwriters of us and our directors and officers for certain liabilities arising under the Securities Act of 1933, as amended, or the Securities Act, the Securities Exchange Act of 1934, as amended, or the Exchange Act,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Exhibits</w:t>
      </w:r>
    </w:p>
    <w:tbl>
      <w:tblPr>
        <w:tblW w:w="10205" w:type="dxa"/>
        <w:jc w:val="left"/>
        <w:tblInd w:w="0" w:type="dxa"/>
        <w:tblLayout w:type="fixed"/>
        <w:tblCellMar>
          <w:top w:w="28" w:type="dxa"/>
          <w:left w:w="28" w:type="dxa"/>
          <w:bottom w:w="28" w:type="dxa"/>
          <w:right w:w="28" w:type="dxa"/>
        </w:tblCellMar>
      </w:tblPr>
      <w:tblGrid>
        <w:gridCol w:w="297"/>
        <w:gridCol w:w="262"/>
        <w:gridCol w:w="263"/>
        <w:gridCol w:w="109"/>
        <w:gridCol w:w="109"/>
        <w:gridCol w:w="109"/>
        <w:gridCol w:w="1617"/>
        <w:gridCol w:w="1126"/>
        <w:gridCol w:w="1077"/>
        <w:gridCol w:w="109"/>
        <w:gridCol w:w="109"/>
        <w:gridCol w:w="109"/>
        <w:gridCol w:w="170"/>
        <w:gridCol w:w="170"/>
        <w:gridCol w:w="171"/>
        <w:gridCol w:w="109"/>
        <w:gridCol w:w="109"/>
        <w:gridCol w:w="109"/>
        <w:gridCol w:w="251"/>
        <w:gridCol w:w="251"/>
        <w:gridCol w:w="252"/>
        <w:gridCol w:w="109"/>
        <w:gridCol w:w="109"/>
        <w:gridCol w:w="109"/>
        <w:gridCol w:w="268"/>
        <w:gridCol w:w="268"/>
        <w:gridCol w:w="270"/>
        <w:gridCol w:w="109"/>
        <w:gridCol w:w="109"/>
        <w:gridCol w:w="109"/>
        <w:gridCol w:w="204"/>
        <w:gridCol w:w="204"/>
        <w:gridCol w:w="205"/>
        <w:gridCol w:w="109"/>
        <w:gridCol w:w="109"/>
        <w:gridCol w:w="109"/>
        <w:gridCol w:w="266"/>
        <w:gridCol w:w="266"/>
        <w:gridCol w:w="385"/>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2-sx32026.htm">
              <w:r>
                <w:rPr>
                  <w:rStyle w:val="InternetLink"/>
                  <w:rFonts w:ascii="Times New Roman;serif" w:hAnsi="Times New Roman;serif"/>
                  <w:b w:val="false"/>
                  <w:color w:val="0000FF"/>
                  <w:sz w:val="20"/>
                  <w:u w:val="single"/>
                </w:rPr>
                <w:t>Sales Agreement, dated September 11, 2026 by and between the Registrant and TD Securities (USA)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Specimen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Preferred Stock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4-sx32026.htm">
              <w:r>
                <w:rPr>
                  <w:rStyle w:val="InternetLink"/>
                  <w:rFonts w:ascii="Times New Roman;serif" w:hAnsi="Times New Roman;serif"/>
                  <w:b w:val="false"/>
                  <w:color w:val="0000FF"/>
                  <w:sz w:val="20"/>
                  <w:u w:val="single"/>
                </w:rPr>
                <w:t>Form of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Debt 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Deposit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Warrant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Subscription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Purchase Contract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Unit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Form of Amended and Restated Registration Rights and Lock-Up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001-39434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Amendment No. 1 to Amended and Restated Registration Rights and Lock-Up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001-39434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2026.htm">
              <w:r>
                <w:rPr>
                  <w:rStyle w:val="InternetLink"/>
                  <w:rFonts w:ascii="Times New Roman;serif" w:hAnsi="Times New Roman;serif"/>
                  <w:b w:val="false"/>
                  <w:color w:val="0000FF"/>
                  <w:sz w:val="20"/>
                  <w:u w:val="single"/>
                </w:rPr>
                <w:t>Opinion of Wilson Sonsini Goodrich &amp; Rosati, Professional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sx32026.htm">
              <w:r>
                <w:rPr>
                  <w:rStyle w:val="InternetLink"/>
                  <w:rFonts w:ascii="Times New Roman;serif" w:hAnsi="Times New Roman;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2026.htm">
              <w:r>
                <w:rPr>
                  <w:rStyle w:val="InternetLink"/>
                  <w:rFonts w:ascii="Times New Roman;serif" w:hAnsi="Times New Roman;serif"/>
                  <w:b w:val="false"/>
                  <w:color w:val="0000FF"/>
                  <w:sz w:val="20"/>
                  <w:u w:val="single"/>
                </w:rPr>
                <w:t>Consent of Wilson Sonsini Goodrich &amp; Rosati, Professional Corporation (included in the opinion filed as Exhibit 5.1 to this Registration Statement)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aa415dc5db4dcd9f9f3944569c6888_1762">
              <w:r>
                <w:rPr>
                  <w:rStyle w:val="InternetLink"/>
                  <w:rFonts w:ascii="Times New Roman;serif" w:hAnsi="Times New Roman;serif"/>
                  <w:b w:val="false"/>
                  <w:color w:val="0000FF"/>
                  <w:sz w:val="20"/>
                  <w:u w:val="single"/>
                </w:rPr>
                <w:t>Power of Attorney (included on the signature page to this Registration Statement)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T-1 Statement of Eligibility of Trustee for Indenture under the Trust Indenture Act of 1939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*To be filed, if applicable, by amendment or as an exhibit to a Form 8-K and incorporated by reference herein.</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**To be filed pursuant to Section 305(b)(2) of the Trust Indenture Act of 1939,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undersigned registrant hereby undertakes: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(1)to file, during any period in which offers or sales are being made, a post-effective amendment to this registration statement: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180"/>
        <w:jc w:val="left"/>
        <w:rPr/>
      </w:pPr>
      <w:r>
        <w:rPr>
          <w:rFonts w:ascii="Times New Roman;serif" w:hAnsi="Times New Roman;serif"/>
          <w:b w:val="false"/>
          <w:i/>
          <w:color w:val="000000"/>
          <w:sz w:val="20"/>
        </w:rPr>
        <w:t>provided, however</w:t>
      </w:r>
      <w:r>
        <w:rPr>
          <w:rFonts w:ascii="Times New Roman;serif" w:hAnsi="Times New Roman;serif"/>
          <w:b w:val="false"/>
          <w:color w:val="000000"/>
          <w:sz w:val="20"/>
        </w:rPr>
        <w:t>, that paragraphs (a)(1)(i), (a)(1)(ii) and (a)(1)(iii)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(4)that, for the purpose of determining liability under the Securities Act to any purchaser: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serif" w:hAnsi="Times New Roman;serif"/>
          <w:b w:val="false"/>
          <w:i/>
          <w:color w:val="000000"/>
          <w:sz w:val="20"/>
        </w:rPr>
        <w:t>Provided, however</w:t>
      </w:r>
      <w:r>
        <w:rPr>
          <w:rFonts w:ascii="Times New Roman;serif" w:hAnsi="Times New Roman;serif"/>
          <w:b w:val="false"/>
          <w:color w:val="000000"/>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(i)any preliminary prospectus or prospectus of the undersigned registrant relating to the offering required to be filed pursuant to Rule 424;</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(ii)any free writing prospectus relating to the offering prepared by or on behalf of the undersigned registrant or used or referred to by the undersigned registrant;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(iv)any other communication that is an offer in the offering made by the undersigned registrant to the purchaser.</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(6)that,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(7)to file an application for the purpose of determining the eligibility of the trustee to act under subsection (a) of Section 310 of the Trust Indenture Act of 1939, as amended, or the Trust Indenture Act, in accordance with the rules and regulations prescribed by the Commission under Section 305(b)(2) of the Trust Indenture Act.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Seattle, State of Washington, on September 11, 2026.</w:t>
      </w:r>
    </w:p>
    <w:tbl>
      <w:tblPr>
        <w:tblW w:w="3914" w:type="dxa"/>
        <w:jc w:val="left"/>
        <w:tblInd w:w="0" w:type="dxa"/>
        <w:tblLayout w:type="fixed"/>
        <w:tblCellMar>
          <w:top w:w="28" w:type="dxa"/>
          <w:left w:w="28" w:type="dxa"/>
          <w:bottom w:w="28" w:type="dxa"/>
          <w:right w:w="28" w:type="dxa"/>
        </w:tblCellMar>
      </w:tblPr>
      <w:tblGrid>
        <w:gridCol w:w="124"/>
        <w:gridCol w:w="109"/>
        <w:gridCol w:w="109"/>
        <w:gridCol w:w="363"/>
        <w:gridCol w:w="363"/>
        <w:gridCol w:w="363"/>
        <w:gridCol w:w="410"/>
        <w:gridCol w:w="410"/>
        <w:gridCol w:w="410"/>
        <w:gridCol w:w="363"/>
        <w:gridCol w:w="363"/>
        <w:gridCol w:w="5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NAUTILUS BIOTECHNOLOGY,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/s/</w:t>
            </w:r>
            <w:r>
              <w:rPr>
                <w:color w:val="000000"/>
              </w:rPr>
              <w:t xml:space="preserve"> </w:t>
            </w:r>
            <w:r>
              <w:rPr>
                <w:rFonts w:ascii="Times New Roman;serif" w:hAnsi="Times New Roman;serif"/>
                <w:b w:val="false"/>
                <w:color w:val="000000"/>
                <w:sz w:val="20"/>
              </w:rPr>
              <w:t>Sujal Patel</w:t>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Sujal Patel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180" w:after="180"/>
        <w:jc w:val="center"/>
        <w:rPr>
          <w:rFonts w:ascii="Times New Roman;serif" w:hAnsi="Times New Roman;serif"/>
          <w:b/>
          <w:color w:val="000000"/>
          <w:sz w:val="20"/>
        </w:rPr>
      </w:pPr>
      <w:bookmarkStart w:id="0" w:name="i53aa415dc5db4dcd9f9f3944569c6888_1762"/>
      <w:bookmarkEnd w:id="0"/>
      <w:r>
        <w:rPr>
          <w:rFonts w:ascii="Times New Roman;serif" w:hAnsi="Times New Roman;serif"/>
          <w:b/>
          <w:color w:val="000000"/>
          <w:sz w:val="20"/>
        </w:rPr>
        <w:t>POWER OF ATTORNEY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hereby constitutes and appoints Sujal Patel and Anna Mowry,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tbl>
      <w:tblPr>
        <w:tblW w:w="8242" w:type="dxa"/>
        <w:jc w:val="left"/>
        <w:tblInd w:w="0" w:type="dxa"/>
        <w:tblLayout w:type="fixed"/>
        <w:tblCellMar>
          <w:top w:w="28" w:type="dxa"/>
          <w:left w:w="28" w:type="dxa"/>
          <w:bottom w:w="28" w:type="dxa"/>
          <w:right w:w="28" w:type="dxa"/>
        </w:tblCellMar>
      </w:tblPr>
      <w:tblGrid>
        <w:gridCol w:w="690"/>
        <w:gridCol w:w="606"/>
        <w:gridCol w:w="609"/>
        <w:gridCol w:w="109"/>
        <w:gridCol w:w="109"/>
        <w:gridCol w:w="109"/>
        <w:gridCol w:w="1299"/>
        <w:gridCol w:w="1299"/>
        <w:gridCol w:w="1316"/>
        <w:gridCol w:w="109"/>
        <w:gridCol w:w="109"/>
        <w:gridCol w:w="109"/>
        <w:gridCol w:w="517"/>
        <w:gridCol w:w="517"/>
        <w:gridCol w:w="735"/>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Sujal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2026</w:t>
            </w:r>
          </w:p>
        </w:tc>
      </w:tr>
      <w:tr>
        <w:trPr/>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Sujal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Anna Mowry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2026</w:t>
            </w:r>
          </w:p>
        </w:tc>
      </w:tr>
      <w:tr>
        <w:trPr/>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Anna Mowry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L. Posard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2026</w:t>
            </w:r>
          </w:p>
        </w:tc>
      </w:tr>
      <w:tr>
        <w:trPr/>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L. Posard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Melissa Epperly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2026</w:t>
            </w:r>
          </w:p>
        </w:tc>
      </w:tr>
      <w:tr>
        <w:trPr/>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Melissa Epperly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2026</w:t>
            </w:r>
          </w:p>
        </w:tc>
      </w:tr>
      <w:tr>
        <w:trPr/>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McIlwain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2026</w:t>
            </w:r>
          </w:p>
        </w:tc>
      </w:tr>
      <w:tr>
        <w:trPr/>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McIlwain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Farzad Nazem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2026</w:t>
            </w:r>
          </w:p>
        </w:tc>
      </w:tr>
      <w:tr>
        <w:trPr/>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Farzad Nazem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Karen Akinsanya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11, 2026</w:t>
            </w:r>
          </w:p>
        </w:tc>
      </w:tr>
      <w:tr>
        <w:trPr/>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Karen Akinsanya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CALCULATION OF FILING FEE TABLES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S-3</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Nautilus Biotechnology, Inc.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pPr>
      <w:r>
        <w:rPr>
          <w:rFonts w:ascii="Times New Roman;serif" w:hAnsi="Times New Roman;serif"/>
          <w:b/>
          <w:color w:val="000000"/>
          <w:sz w:val="16"/>
          <w:u w:val="single"/>
        </w:rPr>
        <w:t>Table 1: Newly Registered and Carry Forward Securities</w:t>
      </w:r>
      <w:r>
        <w:rPr>
          <w:color w:val="000000"/>
        </w:rPr>
        <w:t xml:space="preserve">                                 </w:t>
      </w:r>
    </w:p>
    <w:tbl>
      <w:tblPr>
        <w:tblW w:w="14847"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235"/>
        <w:gridCol w:w="235"/>
        <w:gridCol w:w="236"/>
        <w:gridCol w:w="474"/>
        <w:gridCol w:w="249"/>
        <w:gridCol w:w="253"/>
        <w:gridCol w:w="315"/>
        <w:gridCol w:w="315"/>
        <w:gridCol w:w="316"/>
        <w:gridCol w:w="290"/>
        <w:gridCol w:w="290"/>
        <w:gridCol w:w="291"/>
        <w:gridCol w:w="280"/>
        <w:gridCol w:w="280"/>
        <w:gridCol w:w="281"/>
        <w:gridCol w:w="515"/>
        <w:gridCol w:w="290"/>
        <w:gridCol w:w="291"/>
        <w:gridCol w:w="150"/>
        <w:gridCol w:w="150"/>
        <w:gridCol w:w="151"/>
        <w:gridCol w:w="277"/>
        <w:gridCol w:w="574"/>
        <w:gridCol w:w="155"/>
        <w:gridCol w:w="250"/>
        <w:gridCol w:w="250"/>
        <w:gridCol w:w="251"/>
        <w:gridCol w:w="250"/>
        <w:gridCol w:w="250"/>
        <w:gridCol w:w="251"/>
        <w:gridCol w:w="250"/>
        <w:gridCol w:w="250"/>
        <w:gridCol w:w="251"/>
        <w:gridCol w:w="196"/>
        <w:gridCol w:w="64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72"/>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Security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Type</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Security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Class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w:t>
            </w:r>
          </w:p>
        </w:tc>
        <w:tc>
          <w:tcPr>
            <w:tcW w:w="9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Fee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Calculation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Rule</w:t>
            </w:r>
          </w:p>
        </w:tc>
        <w:tc>
          <w:tcPr>
            <w:tcW w:w="8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 Registered</w:t>
            </w:r>
          </w:p>
        </w:tc>
        <w:tc>
          <w:tcPr>
            <w:tcW w:w="8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Proposed Maximum Offering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Price Per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Unit</w:t>
            </w:r>
          </w:p>
        </w:tc>
        <w:tc>
          <w:tcPr>
            <w:tcW w:w="10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Maximum Aggregate Offering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Price</w:t>
            </w:r>
          </w:p>
        </w:tc>
        <w:tc>
          <w:tcPr>
            <w:tcW w:w="4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Fee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Rate</w:t>
            </w:r>
          </w:p>
        </w:tc>
        <w:tc>
          <w:tcPr>
            <w:tcW w:w="10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Amount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Registration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Fee</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 Forward Form Type</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 Forward File Number</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 Forward Initial Effective Date</w:t>
            </w:r>
          </w:p>
        </w:tc>
        <w:tc>
          <w:tcPr>
            <w:tcW w:w="9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Fee Previously Paid in Connection with Unsold Securities to be Carried Forward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5" w:type="dxa"/>
            <w:gridSpan w:val="42"/>
            <w:tcBorders>
              <w:left w:val="single" w:sz="8" w:space="0" w:color="000000"/>
            </w:tcBorders>
            <w:tcMar>
              <w:top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 Forward Securities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 Forward Securities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Rule 415(a)(6)</w:t>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S-3</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333-277437</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03/06/2024</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 Forward Securities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par value $0.0001 per share</w:t>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Rule 415(a)(6)</w:t>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S-3</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333-277437</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03/06/2024</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 Forward Securities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Debt Securities</w:t>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Rule 415(a)(6)</w:t>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S-3</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333-277437</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03/06/2024</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 Forward Securities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Depositary Shares</w:t>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Rule 415(a)(6)</w:t>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S-3</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333-277437</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03/06/2024</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 Forward Securities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Warrants</w:t>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Rule 415(a)(6)</w:t>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S-3</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333-277437</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03/06/2024</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 Forward Securities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Subscription Rights</w:t>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Rule 415(a)(6)</w:t>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S-3</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333-277437</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03/06/2024</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 Forward Securities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Purchase Contracts</w:t>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Rule 415(a)(6)</w:t>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S-3</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333-277437</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03/06/2024</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 Forward Securities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Units</w:t>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Rule 415(a)(6)</w:t>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S-3</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333-277437</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03/06/2024</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 Forward Securities</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7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Unallocated (Universal) Shelf</w:t>
            </w:r>
          </w:p>
        </w:tc>
        <w:tc>
          <w:tcPr>
            <w:tcW w:w="9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Rule 415(a)(6)</w:t>
            </w:r>
          </w:p>
        </w:tc>
        <w:tc>
          <w:tcPr>
            <w:tcW w:w="87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$300,000,000</w:t>
            </w:r>
          </w:p>
        </w:tc>
        <w:tc>
          <w:tcPr>
            <w:tcW w:w="4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S-3</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333-277437</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03/06/2024</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1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Offering Amounts</w:t>
            </w:r>
          </w:p>
        </w:tc>
        <w:tc>
          <w:tcPr>
            <w:tcW w:w="8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$300,000,000</w:t>
            </w:r>
          </w:p>
        </w:tc>
        <w:tc>
          <w:tcPr>
            <w:tcW w:w="4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right"/>
              <w:rPr/>
            </w:pPr>
            <w:r>
              <w:rPr/>
            </w:r>
          </w:p>
        </w:tc>
        <w:tc>
          <w:tcPr>
            <w:tcW w:w="277"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Fees Previously Paid</w:t>
            </w:r>
          </w:p>
        </w:tc>
        <w:tc>
          <w:tcPr>
            <w:tcW w:w="8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4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77"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Fee Offsets</w:t>
            </w:r>
          </w:p>
        </w:tc>
        <w:tc>
          <w:tcPr>
            <w:tcW w:w="8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4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r>
          </w:p>
        </w:tc>
        <w:tc>
          <w:tcPr>
            <w:tcW w:w="277"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499"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Fee Due</w:t>
            </w:r>
          </w:p>
        </w:tc>
        <w:tc>
          <w:tcPr>
            <w:tcW w:w="84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10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45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r>
          </w:p>
        </w:tc>
        <w:tc>
          <w:tcPr>
            <w:tcW w:w="277"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color w:val="000000"/>
          <w:sz w:val="16"/>
          <w:shd w:fill="FFFFFF" w:val="clear"/>
        </w:rPr>
        <w:t>Offering Note</w:t>
      </w:r>
      <w:r>
        <w:rPr>
          <w:color w:val="000000"/>
          <w:shd w:fill="FFFFFF" w:val="clear"/>
        </w:rPr>
        <w:t xml:space="preserve"> </w:t>
      </w:r>
      <w:r>
        <w:rPr>
          <w:rFonts w:ascii="Times New Roman;serif" w:hAnsi="Times New Roman;serif"/>
          <w:b w:val="false"/>
          <w:color w:val="000000"/>
          <w:sz w:val="16"/>
          <w:shd w:fill="FFFFFF" w:val="clear"/>
        </w:rPr>
        <w:t>1</w:t>
      </w:r>
    </w:p>
    <w:p>
      <w:pPr>
        <w:pStyle w:val="TextBody"/>
        <w:bidi w:val="0"/>
        <w:spacing w:lineRule="auto" w:line="288" w:before="0" w:after="0"/>
        <w:ind w:left="0" w:right="0" w:hanging="36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a.The securities registered hereunder include such indeterminate number of (a) shares of common stock, (b) shares of preferred stock, (c) debt securities, (d) depositary shares, (e) warrants to purchase common stock, preferred stock, debt securities or depositary shares of the registrant, (f) subscription rights to purchase common stock, preferred stock, debt securities, depositary shares, warrants or units consisting of some or all of these securities of the registrant, (g) purchase contracts and (h) units consisting of some or all of these securities, as may be sold from time to time by the registrant. The securities registered hereunder also include an indeterminate number of shares of common stock and preferred stock as shall be issuable upon conversion, exchange or exercise of any securities that provide for such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2"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Pursuant to Rule 416 under the Securities Act of 1933, as amended (the “Securities Act”), this registration statement also covers any additional shares of the registrant’s securities that become issuable by reason of any share splits, share dividends or similar transactions.</w:t>
      </w:r>
    </w:p>
    <w:p>
      <w:pPr>
        <w:pStyle w:val="TextBody"/>
        <w:bidi w:val="0"/>
        <w:spacing w:lineRule="auto" w:line="288" w:before="0" w:after="0"/>
        <w:ind w:left="0" w:right="0" w:hanging="36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b.The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 2.A(iii)(b) of Item 16(b) of Form S-3 under the Securities Act. Separate consideration may or may not be received for securities that are issuable on exercise, conversion or exchange of other securities, or that are issued in units.</w:t>
      </w:r>
    </w:p>
    <w:p>
      <w:pPr>
        <w:pStyle w:val="TextBody"/>
        <w:bidi w:val="0"/>
        <w:spacing w:lineRule="auto" w:line="288"/>
        <w:ind w:left="0" w:right="0" w:hanging="36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c.Pursuant to Rule 415(a)(6) under the Securities Act, securities with a maximum aggregate price of $300,000,000 registered hereunder are unsold securities (the “Unsold Securities”) previously covered by the registrant’s registration statement on Form S-3 (File No. 333-277437) which was initially filed with the Securities and Exchange Commission on February 28, 2024 and declared effective on March 6, 2024 (the “Prior Registration Statement”), and are included in this registration statement. In connection with the filing of the Prior Registration Statement, the registrant paid a filing fee of $44,280 with respect to an aggregate of $300,000,000 of securities (based on the filing fee rate in effect at the time of the filing of the Prior Registration Statement). The registrant may continue to offer and sell under the Prior Registration Statement the Unsold Securities being registered hereunder.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and the updated amount of new securities to be registered on this Registration Statement. Pursuant to Rule 415(a)(6) under the Securities Act, the offering of the Unsold Securities under the Prior Registration Statement will be deemed terminated as of the date of effectiveness of this Registration Statement.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3"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NAUTILUS BIOTECHNOLOGY, INC.</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$125,000,000.00</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SHARES OF COMMON STOCK, PAR VALUE $0.0001 PER SHARE</w:t>
      </w:r>
    </w:p>
    <w:p>
      <w:pPr>
        <w:pStyle w:val="TextBody"/>
        <w:bidi w:val="0"/>
        <w:spacing w:lineRule="auto" w:line="288" w:before="0" w:after="480"/>
        <w:jc w:val="center"/>
        <w:rPr>
          <w:rFonts w:ascii="Times New Roman;serif" w:hAnsi="Times New Roman;serif"/>
          <w:b/>
          <w:color w:val="000000"/>
          <w:sz w:val="24"/>
          <w:u w:val="single"/>
        </w:rPr>
      </w:pPr>
      <w:r>
        <w:rPr>
          <w:rFonts w:ascii="Times New Roman;serif" w:hAnsi="Times New Roman;serif"/>
          <w:b/>
          <w:color w:val="000000"/>
          <w:sz w:val="24"/>
          <w:u w:val="single"/>
        </w:rPr>
        <w:t>SALES AGREEMENT</w:t>
      </w:r>
    </w:p>
    <w:p>
      <w:pPr>
        <w:pStyle w:val="TextBody"/>
        <w:bidi w:val="0"/>
        <w:spacing w:lineRule="auto" w:line="288" w:before="0" w:after="480"/>
        <w:jc w:val="right"/>
        <w:rPr>
          <w:rFonts w:ascii="Times New Roman;serif" w:hAnsi="Times New Roman;serif"/>
          <w:b w:val="false"/>
          <w:color w:val="000000"/>
          <w:sz w:val="24"/>
        </w:rPr>
      </w:pPr>
      <w:r>
        <w:rPr>
          <w:rFonts w:ascii="Times New Roman;serif" w:hAnsi="Times New Roman;serif"/>
          <w:b w:val="false"/>
          <w:color w:val="000000"/>
          <w:sz w:val="24"/>
        </w:rPr>
        <w:t>September 11, 2026</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TD Securities (USA)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 Vanderbilt Avenue</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New York, New York 10017</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Nautilus Biotechnology, Inc., a Delaware corporation (the “</w:t>
      </w:r>
      <w:r>
        <w:rPr>
          <w:rFonts w:ascii="Times New Roman;serif" w:hAnsi="Times New Roman;serif"/>
          <w:b/>
          <w:color w:val="000000"/>
          <w:sz w:val="24"/>
          <w:u w:val="single"/>
        </w:rPr>
        <w:t>Company</w:t>
      </w:r>
      <w:r>
        <w:rPr>
          <w:color w:val="000000"/>
        </w:rPr>
        <w:t>”</w:t>
      </w:r>
      <w:r>
        <w:rPr>
          <w:rFonts w:ascii="Times New Roman;serif" w:hAnsi="Times New Roman;serif"/>
          <w:b w:val="false"/>
          <w:color w:val="000000"/>
          <w:sz w:val="24"/>
        </w:rPr>
        <w:t>), confirms its agreement (this “</w:t>
      </w:r>
      <w:r>
        <w:rPr>
          <w:rFonts w:ascii="Times New Roman;serif" w:hAnsi="Times New Roman;serif"/>
          <w:b/>
          <w:color w:val="000000"/>
          <w:sz w:val="24"/>
          <w:u w:val="single"/>
        </w:rPr>
        <w:t>Agreement</w:t>
      </w:r>
      <w:r>
        <w:rPr>
          <w:color w:val="000000"/>
        </w:rPr>
        <w:t>”</w:t>
      </w:r>
      <w:r>
        <w:rPr>
          <w:rFonts w:ascii="Times New Roman;serif" w:hAnsi="Times New Roman;serif"/>
          <w:b w:val="false"/>
          <w:color w:val="000000"/>
          <w:sz w:val="24"/>
        </w:rPr>
        <w:t>) with TD Securities (USA) LLC (“</w:t>
      </w:r>
      <w:r>
        <w:rPr>
          <w:rFonts w:ascii="Times New Roman;serif" w:hAnsi="Times New Roman;serif"/>
          <w:b/>
          <w:color w:val="000000"/>
          <w:sz w:val="24"/>
          <w:u w:val="single"/>
        </w:rPr>
        <w:t>TD Cowen</w:t>
      </w:r>
      <w:r>
        <w:rPr>
          <w:color w:val="000000"/>
        </w:rPr>
        <w:t>”</w:t>
      </w:r>
      <w:r>
        <w:rPr>
          <w:rFonts w:ascii="Times New Roman;serif" w:hAnsi="Times New Roman;serif"/>
          <w:b w:val="false"/>
          <w:color w:val="000000"/>
          <w:sz w:val="24"/>
        </w:rPr>
        <w:t>), as follows:</w:t>
      </w:r>
    </w:p>
    <w:p>
      <w:pPr>
        <w:pStyle w:val="TextBody"/>
        <w:bidi w:val="0"/>
        <w:spacing w:lineRule="auto" w:line="268"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Issuance and Sale of Shares</w:t>
      </w:r>
      <w:r>
        <w:rPr>
          <w:rFonts w:ascii="Times New Roman;serif" w:hAnsi="Times New Roman;serif"/>
          <w:b w:val="false"/>
          <w:color w:val="000000"/>
          <w:sz w:val="24"/>
        </w:rPr>
        <w:t>. The Company agrees that, from time to time during the term of this Agreement, on the terms and subject to the conditions set forth herein, it may issue and sell through TD Cowen, acting as agent and/or principal, shares (the “</w:t>
      </w:r>
      <w:r>
        <w:rPr>
          <w:rFonts w:ascii="Times New Roman;serif" w:hAnsi="Times New Roman;serif"/>
          <w:b/>
          <w:color w:val="000000"/>
          <w:sz w:val="24"/>
          <w:u w:val="single"/>
        </w:rPr>
        <w:t>Placement Shares</w:t>
      </w:r>
      <w:r>
        <w:rPr>
          <w:color w:val="000000"/>
        </w:rPr>
        <w:t>”</w:t>
      </w:r>
      <w:r>
        <w:rPr>
          <w:rFonts w:ascii="Times New Roman;serif" w:hAnsi="Times New Roman;serif"/>
          <w:b w:val="false"/>
          <w:color w:val="000000"/>
          <w:sz w:val="24"/>
        </w:rPr>
        <w:t>) of the Company’s common stock, par value $0.0001 per share (the “</w:t>
      </w:r>
      <w:r>
        <w:rPr>
          <w:rFonts w:ascii="Times New Roman;serif" w:hAnsi="Times New Roman;serif"/>
          <w:b/>
          <w:color w:val="000000"/>
          <w:sz w:val="24"/>
          <w:u w:val="single"/>
        </w:rPr>
        <w:t>Common Stock</w:t>
      </w:r>
      <w:r>
        <w:rPr>
          <w:color w:val="000000"/>
        </w:rPr>
        <w:t>”</w:t>
      </w:r>
      <w:r>
        <w:rPr>
          <w:rFonts w:ascii="Times New Roman;serif" w:hAnsi="Times New Roman;serif"/>
          <w:b w:val="false"/>
          <w:color w:val="000000"/>
          <w:sz w:val="24"/>
        </w:rPr>
        <w:t>), having an aggregate offering price of up to $125,000,000.00 (the “</w:t>
      </w:r>
      <w:r>
        <w:rPr>
          <w:rFonts w:ascii="Times New Roman;serif" w:hAnsi="Times New Roman;serif"/>
          <w:b/>
          <w:color w:val="000000"/>
          <w:sz w:val="24"/>
          <w:u w:val="single"/>
        </w:rPr>
        <w:t>Maximum Amount</w:t>
      </w:r>
      <w:r>
        <w:rPr>
          <w:color w:val="000000"/>
        </w:rPr>
        <w:t>”</w:t>
      </w:r>
      <w:r>
        <w:rPr>
          <w:rFonts w:ascii="Times New Roman;serif" w:hAnsi="Times New Roman;serif"/>
          <w:b w:val="false"/>
          <w:color w:val="000000"/>
          <w:sz w:val="24"/>
        </w:rPr>
        <w:t xml:space="preserve">). Notwithstanding anything to the contrary contained herein, the parties hereto agree that compliance with the limitation set forth in this </w:t>
      </w:r>
      <w:r>
        <w:rPr>
          <w:rFonts w:ascii="Times New Roman;serif" w:hAnsi="Times New Roman;serif"/>
          <w:b w:val="false"/>
          <w:color w:val="000000"/>
          <w:sz w:val="24"/>
          <w:u w:val="single"/>
        </w:rPr>
        <w:t>Section 1</w:t>
      </w:r>
      <w:r>
        <w:rPr>
          <w:color w:val="000000"/>
        </w:rPr>
        <w:t xml:space="preserve"> </w:t>
      </w:r>
      <w:r>
        <w:rPr>
          <w:rFonts w:ascii="Times New Roman;serif" w:hAnsi="Times New Roman;serif"/>
          <w:b w:val="false"/>
          <w:color w:val="000000"/>
          <w:sz w:val="24"/>
        </w:rPr>
        <w:t>on the number of shares of Common Stock issued and sold under this Agreement shall be the sole responsibility of the Company, and TD Cowen shall have no obligation in connection with such compliance. The issuance and sale of Common Stock through TD Cowen will be effected pursuant to the Registration Statement (as defined below) filed by the Company and after such Registration Statement has been declared effective by the Securities and Exchange Commission (the “</w:t>
      </w:r>
      <w:r>
        <w:rPr>
          <w:rFonts w:ascii="Times New Roman;serif" w:hAnsi="Times New Roman;serif"/>
          <w:b/>
          <w:color w:val="000000"/>
          <w:sz w:val="24"/>
          <w:u w:val="single"/>
        </w:rPr>
        <w:t>Commission</w:t>
      </w:r>
      <w:r>
        <w:rPr>
          <w:color w:val="000000"/>
        </w:rPr>
        <w:t>”</w:t>
      </w:r>
      <w:r>
        <w:rPr>
          <w:rFonts w:ascii="Times New Roman;serif" w:hAnsi="Times New Roman;serif"/>
          <w:b w:val="false"/>
          <w:color w:val="000000"/>
          <w:sz w:val="24"/>
        </w:rPr>
        <w:t>), although nothing in this Agreement shall be construed as requiring the Company to use the Registration Statement (as defined below) to issue the Placement Shares. The Company acknowledges and agrees that sales of Common Stock under this Agreement may be made through affiliates of TD Cowen, and that TD Cowen may otherwise fulfill its obligations pursuant to this Agreement to or through an affiliated broker-dealer.</w:t>
      </w:r>
    </w:p>
    <w:p>
      <w:pPr>
        <w:pStyle w:val="TextBody"/>
        <w:bidi w:val="0"/>
        <w:spacing w:lineRule="auto" w:line="268"/>
        <w:ind w:left="0" w:right="0" w:firstLine="1080"/>
        <w:jc w:val="both"/>
        <w:rPr/>
      </w:pPr>
      <w:r>
        <w:rPr>
          <w:rFonts w:ascii="Times New Roman;serif" w:hAnsi="Times New Roman;serif"/>
          <w:b w:val="false"/>
          <w:color w:val="000000"/>
          <w:sz w:val="24"/>
        </w:rPr>
        <w:t>The Company has filed or will file, in accordance with the provisions of the Securities Act of 1933, as amended, and the rules and regulations promulgated thereunder (collectively, the “</w:t>
      </w:r>
      <w:r>
        <w:rPr>
          <w:rFonts w:ascii="Times New Roman;serif" w:hAnsi="Times New Roman;serif"/>
          <w:b/>
          <w:color w:val="000000"/>
          <w:sz w:val="24"/>
          <w:u w:val="single"/>
        </w:rPr>
        <w:t>Securities Act</w:t>
      </w:r>
      <w:r>
        <w:rPr>
          <w:color w:val="000000"/>
        </w:rPr>
        <w:t>”</w:t>
      </w:r>
      <w:r>
        <w:rPr>
          <w:rFonts w:ascii="Times New Roman;serif" w:hAnsi="Times New Roman;serif"/>
          <w:b w:val="false"/>
          <w:color w:val="000000"/>
          <w:sz w:val="24"/>
        </w:rPr>
        <w:t>), with the Commission a registration statement on Form S-3, including (a) a base prospectus, relating to certain securities, including the Common Stock, to be issued from time to time by the Company, and (b) a prospectus supplement specifically relating to the Placement Shares (the “</w:t>
      </w:r>
      <w:r>
        <w:rPr>
          <w:rFonts w:ascii="Times New Roman;serif" w:hAnsi="Times New Roman;serif"/>
          <w:b/>
          <w:color w:val="000000"/>
          <w:sz w:val="24"/>
          <w:u w:val="single"/>
        </w:rPr>
        <w:t>ATM</w:t>
      </w:r>
      <w:r>
        <w:rPr>
          <w:color w:val="000000"/>
          <w:u w:val="single"/>
        </w:rPr>
        <w:t xml:space="preserve"> </w:t>
      </w:r>
      <w:r>
        <w:rPr>
          <w:rFonts w:ascii="Times New Roman;serif" w:hAnsi="Times New Roman;serif"/>
          <w:b/>
          <w:color w:val="000000"/>
          <w:sz w:val="24"/>
          <w:u w:val="single"/>
        </w:rPr>
        <w:t>Prospectus Supplement</w:t>
      </w:r>
      <w:r>
        <w:rPr>
          <w:color w:val="000000"/>
        </w:rPr>
        <w:t>”</w:t>
      </w:r>
      <w:r>
        <w:rPr>
          <w:rFonts w:ascii="Times New Roman;serif" w:hAnsi="Times New Roman;serif"/>
          <w:b w:val="false"/>
          <w:color w:val="000000"/>
          <w:sz w:val="24"/>
        </w:rPr>
        <w:t>) to the base prospectus included as part of such registration statement, each of which incorporate by reference documents that the Company has filed or will file in accordance with the provisions of the Securities Exchange Act of 1934, as amended, and the rules and regulations promulgated thereunder (collectively, the “</w:t>
      </w:r>
      <w:r>
        <w:rPr>
          <w:rFonts w:ascii="Times New Roman;serif" w:hAnsi="Times New Roman;serif"/>
          <w:b/>
          <w:color w:val="000000"/>
          <w:sz w:val="24"/>
          <w:u w:val="single"/>
        </w:rPr>
        <w:t>Exchange Act</w:t>
      </w:r>
      <w:r>
        <w:rPr>
          <w:color w:val="000000"/>
        </w:rPr>
        <w:t>”</w:t>
      </w:r>
      <w:r>
        <w:rPr>
          <w:rFonts w:ascii="Times New Roman;serif" w:hAnsi="Times New Roman;serif"/>
          <w:b w:val="false"/>
          <w:color w:val="000000"/>
          <w:sz w:val="24"/>
        </w:rPr>
        <w:t xml:space="preserve">). As soon as practicable following the date that such registration statement is </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4"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declared effective, the Company shall furnish to TD Cowen, for use by TD Cowen, copies of the prospectus included as part of such registration statement, as supplemented by the ATM Prospectus Supplement relating to the Placement Shares. Except where the context otherwise requires, such registration statement,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with respect to the Placement Shares, is herein called the “</w:t>
      </w:r>
      <w:r>
        <w:rPr>
          <w:rFonts w:ascii="Times New Roman;serif" w:hAnsi="Times New Roman;serif"/>
          <w:b/>
          <w:color w:val="000000"/>
          <w:sz w:val="24"/>
          <w:u w:val="single"/>
        </w:rPr>
        <w:t>Registration Statement.</w:t>
      </w:r>
      <w:r>
        <w:rPr>
          <w:color w:val="000000"/>
        </w:rPr>
        <w:t xml:space="preserve">” </w:t>
      </w:r>
      <w:r>
        <w:rPr>
          <w:rFonts w:ascii="Times New Roman;serif" w:hAnsi="Times New Roman;serif"/>
          <w:b w:val="false"/>
          <w:color w:val="000000"/>
          <w:sz w:val="24"/>
        </w:rPr>
        <w:t>Any registration statement and amendments thereto filed pursuant to Rule 462(b) of the Securities Act and relating to the offering covered by the Registration Statement is herein called a “Rule 462(b) Registration Statement” and, after such filing, the “Registration Statement” shall include any Rule 462(b) Registration Statement. The base prospectus, including all documents incorporated therein by reference, included in the Registration Statement, as it may be supplemented by the ATM Prospectus Supplement or any additional prospectus supplement, in the form in which such base prospectus and ATM Prospectus Supplement and/or additional prospectus supplement have most recently been filed by the Company with the Commission pursuant to Rule 424(b) under the Securities Act, together with any “issuer free writing prospectus,” as defined in Rule 433 under the Securities Act (“</w:t>
      </w:r>
      <w:r>
        <w:rPr>
          <w:rFonts w:ascii="Times New Roman;serif" w:hAnsi="Times New Roman;serif"/>
          <w:b/>
          <w:color w:val="000000"/>
          <w:sz w:val="24"/>
          <w:u w:val="single"/>
        </w:rPr>
        <w:t>Rule 433</w:t>
      </w:r>
      <w:r>
        <w:rPr>
          <w:color w:val="000000"/>
        </w:rPr>
        <w:t>”</w:t>
      </w:r>
      <w:r>
        <w:rPr>
          <w:rFonts w:ascii="Times New Roman;serif" w:hAnsi="Times New Roman;serif"/>
          <w:b w:val="false"/>
          <w:color w:val="000000"/>
          <w:sz w:val="24"/>
        </w:rPr>
        <w:t>), relating to the Placement Shares that (i) is consented to by TD Cowen, hereinafter referred to as a “</w:t>
      </w:r>
      <w:r>
        <w:rPr>
          <w:rFonts w:ascii="Times New Roman;serif" w:hAnsi="Times New Roman;serif"/>
          <w:b/>
          <w:color w:val="000000"/>
          <w:sz w:val="24"/>
          <w:u w:val="single"/>
        </w:rPr>
        <w:t>Permitted Free Writing Prospectus</w:t>
      </w:r>
      <w:r>
        <w:rPr>
          <w:rFonts w:ascii="Times New Roman;serif" w:hAnsi="Times New Roman;serif"/>
          <w:b w:val="false"/>
          <w:color w:val="000000"/>
          <w:sz w:val="24"/>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serif" w:hAnsi="Times New Roman;serif"/>
          <w:b/>
          <w:color w:val="000000"/>
          <w:sz w:val="24"/>
          <w:u w:val="single"/>
        </w:rPr>
        <w:t>Prospectus</w:t>
      </w:r>
      <w:r>
        <w:rPr>
          <w:rFonts w:ascii="Times New Roman;serif" w:hAnsi="Times New Roman;serif"/>
          <w:b w:val="false"/>
          <w:color w:val="000000"/>
          <w:sz w:val="24"/>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or any successor thereto (“</w:t>
      </w:r>
      <w:r>
        <w:rPr>
          <w:rFonts w:ascii="Times New Roman;serif" w:hAnsi="Times New Roman;serif"/>
          <w:b/>
          <w:color w:val="000000"/>
          <w:sz w:val="24"/>
          <w:u w:val="single"/>
        </w:rPr>
        <w:t>EDGAR</w:t>
      </w:r>
      <w:r>
        <w:rPr>
          <w:color w:val="000000"/>
        </w:rPr>
        <w:t>”</w:t>
      </w:r>
      <w:r>
        <w:rPr>
          <w:rFonts w:ascii="Times New Roman;serif" w:hAnsi="Times New Roman;serif"/>
          <w:b w:val="false"/>
          <w:color w:val="000000"/>
          <w:sz w:val="24"/>
        </w:rPr>
        <w:t>). The Company’s obligations under this Agreement to furnish, provide, deliver or make available (and all other similar references or obligations) copies of any document or other information shall be deemed satisfied if the same is filed with the Commission through EDGAR.</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Placements</w:t>
      </w:r>
      <w:r>
        <w:rPr>
          <w:rFonts w:ascii="Times New Roman;serif" w:hAnsi="Times New Roman;serif"/>
          <w:b w:val="false"/>
          <w:color w:val="000000"/>
          <w:sz w:val="24"/>
        </w:rPr>
        <w:t>. Each time that the Company wishes, in its sole discretion, to issue and sell the Placement Shares hereunder (each, a “</w:t>
      </w:r>
      <w:r>
        <w:rPr>
          <w:rFonts w:ascii="Times New Roman;serif" w:hAnsi="Times New Roman;serif"/>
          <w:b/>
          <w:color w:val="000000"/>
          <w:sz w:val="24"/>
          <w:u w:val="single"/>
        </w:rPr>
        <w:t>Placement</w:t>
      </w:r>
      <w:r>
        <w:rPr>
          <w:color w:val="000000"/>
        </w:rPr>
        <w:t>”</w:t>
      </w:r>
      <w:r>
        <w:rPr>
          <w:rFonts w:ascii="Times New Roman;serif" w:hAnsi="Times New Roman;serif"/>
          <w:b w:val="false"/>
          <w:color w:val="000000"/>
          <w:sz w:val="24"/>
        </w:rPr>
        <w:t>), it will notify TD Cowen by email notice (or other method mutually agreed to in writing by the parties) (a “</w:t>
      </w:r>
      <w:r>
        <w:rPr>
          <w:rFonts w:ascii="Times New Roman;serif" w:hAnsi="Times New Roman;serif"/>
          <w:b/>
          <w:color w:val="000000"/>
          <w:sz w:val="24"/>
          <w:u w:val="single"/>
        </w:rPr>
        <w:t>Placement Notice</w:t>
      </w:r>
      <w:r>
        <w:rPr>
          <w:color w:val="000000"/>
        </w:rPr>
        <w:t>”</w:t>
      </w:r>
      <w:r>
        <w:rPr>
          <w:rFonts w:ascii="Times New Roman;serif" w:hAnsi="Times New Roman;serif"/>
          <w:b w:val="false"/>
          <w:color w:val="000000"/>
          <w:sz w:val="24"/>
        </w:rPr>
        <w:t xml:space="preserve">) containing the parameters in accordance with which it desires the Placement Shares to be sold, which shall at a minimum include the number or dollar amount of Placement Shares to be issued, the time period during which sales are requested to be made, any limitation on the number or dollar amount of Placement Shares that may be sold in any one Trading Day (as defined in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and any minimum price below which sales may not be made, a form of which containing such minimum sales parameters necessary is attached hereto as </w:t>
      </w:r>
      <w:r>
        <w:rPr>
          <w:rFonts w:ascii="Times New Roman;serif" w:hAnsi="Times New Roman;serif"/>
          <w:b/>
          <w:color w:val="000000"/>
          <w:sz w:val="24"/>
          <w:u w:val="single"/>
        </w:rPr>
        <w:t>Schedule 1</w:t>
      </w:r>
      <w:r>
        <w:rPr>
          <w:rFonts w:ascii="Times New Roman;serif" w:hAnsi="Times New Roman;serif"/>
          <w:b w:val="false"/>
          <w:color w:val="000000"/>
          <w:sz w:val="24"/>
        </w:rPr>
        <w:t xml:space="preserve">. The Placement Notice shall originate from any of the individuals from the Company set forth on </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5"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u w:val="single"/>
        </w:rPr>
        <w:t>Schedule 2</w:t>
      </w:r>
      <w:r>
        <w:rPr>
          <w:color w:val="000000"/>
        </w:rPr>
        <w:t xml:space="preserve"> </w:t>
      </w:r>
      <w:r>
        <w:rPr>
          <w:rFonts w:ascii="Times New Roman;serif" w:hAnsi="Times New Roman;serif"/>
          <w:b w:val="false"/>
          <w:color w:val="000000"/>
          <w:sz w:val="24"/>
        </w:rPr>
        <w:t xml:space="preserve">(with a copy to each of the other individuals from the Company listed on such schedule), and shall be addressed to each of the individuals from TD Cowen set forth on </w:t>
      </w:r>
      <w:r>
        <w:rPr>
          <w:rFonts w:ascii="Times New Roman;serif" w:hAnsi="Times New Roman;serif"/>
          <w:b/>
          <w:color w:val="000000"/>
          <w:sz w:val="24"/>
          <w:u w:val="single"/>
        </w:rPr>
        <w:t>Schedule 2</w:t>
      </w:r>
      <w:r>
        <w:rPr>
          <w:rFonts w:ascii="Times New Roman;serif" w:hAnsi="Times New Roman;serif"/>
          <w:b w:val="false"/>
          <w:color w:val="000000"/>
          <w:sz w:val="24"/>
        </w:rPr>
        <w:t xml:space="preserve">, as such </w:t>
      </w:r>
      <w:r>
        <w:rPr>
          <w:rFonts w:ascii="Times New Roman;serif" w:hAnsi="Times New Roman;serif"/>
          <w:b/>
          <w:color w:val="000000"/>
          <w:sz w:val="24"/>
          <w:u w:val="single"/>
        </w:rPr>
        <w:t>Schedule 2</w:t>
      </w:r>
      <w:r>
        <w:rPr>
          <w:color w:val="000000"/>
        </w:rPr>
        <w:t xml:space="preserve"> </w:t>
      </w:r>
      <w:r>
        <w:rPr>
          <w:rFonts w:ascii="Times New Roman;serif" w:hAnsi="Times New Roman;serif"/>
          <w:b w:val="false"/>
          <w:color w:val="000000"/>
          <w:sz w:val="24"/>
        </w:rPr>
        <w:t xml:space="preserve">may be amended from time to time. The Placement Notice shall be effective upon receipt by TD Cowen unless and until (i) in accordance with the notice requirements set forth in </w:t>
      </w:r>
      <w:r>
        <w:rPr>
          <w:rFonts w:ascii="Times New Roman;serif" w:hAnsi="Times New Roman;serif"/>
          <w:b w:val="false"/>
          <w:color w:val="000000"/>
          <w:sz w:val="24"/>
          <w:u w:val="single"/>
        </w:rPr>
        <w:t>Section 4</w:t>
      </w:r>
      <w:r>
        <w:rPr>
          <w:rFonts w:ascii="Times New Roman;serif" w:hAnsi="Times New Roman;serif"/>
          <w:b w:val="false"/>
          <w:color w:val="000000"/>
          <w:sz w:val="24"/>
        </w:rPr>
        <w:t xml:space="preserve">, TD Cowen declines to accept the terms contained therein for any reason, in its sole discretion, provided that any such declination must occur within two (2) Business Days of the receipt of the Placement Notice, (ii) the entire amount of the Placement Shares thereunder have been sold, (iii) in accordance with the notice requirements set forth in </w:t>
      </w:r>
      <w:r>
        <w:rPr>
          <w:rFonts w:ascii="Times New Roman;serif" w:hAnsi="Times New Roman;serif"/>
          <w:b w:val="false"/>
          <w:color w:val="000000"/>
          <w:sz w:val="24"/>
          <w:u w:val="single"/>
        </w:rPr>
        <w:t>Section 4</w:t>
      </w:r>
      <w:r>
        <w:rPr>
          <w:rFonts w:ascii="Times New Roman;serif" w:hAnsi="Times New Roman;serif"/>
          <w:b w:val="false"/>
          <w:color w:val="000000"/>
          <w:sz w:val="24"/>
        </w:rPr>
        <w:t xml:space="preserve">, the Company suspends or terminates the Placement Notice, (iv) the Company issues a subsequent Placement Notice with parameters superseding or amending those on the earlier dated Placement Notice for any reason in its sole discretion, or (v) this Agreement has been terminated under the provisions of </w:t>
      </w: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serif" w:hAnsi="Times New Roman;serif"/>
          <w:b/>
          <w:color w:val="000000"/>
          <w:sz w:val="24"/>
          <w:u w:val="single"/>
        </w:rPr>
        <w:t>Schedule 3</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Sale of Placement Shares by TD Cowen.</w:t>
      </w:r>
      <w:r>
        <w:rPr>
          <w:color w:val="000000"/>
        </w:rPr>
        <w:t xml:space="preserve"> </w:t>
      </w:r>
      <w:r>
        <w:rPr>
          <w:rFonts w:ascii="Times New Roman;serif" w:hAnsi="Times New Roman;serif"/>
          <w:b w:val="false"/>
          <w:color w:val="000000"/>
          <w:sz w:val="24"/>
        </w:rPr>
        <w:t>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applicable rules of the Nasdaq Stock Market (“</w:t>
      </w:r>
      <w:r>
        <w:rPr>
          <w:rFonts w:ascii="Times New Roman;serif" w:hAnsi="Times New Roman;serif"/>
          <w:b/>
          <w:color w:val="000000"/>
          <w:sz w:val="24"/>
          <w:u w:val="single"/>
        </w:rPr>
        <w:t>Nasdaq</w:t>
      </w:r>
      <w:r>
        <w:rPr>
          <w:color w:val="000000"/>
        </w:rPr>
        <w:t>”</w:t>
      </w:r>
      <w:r>
        <w:rPr>
          <w:rFonts w:ascii="Times New Roman;serif" w:hAnsi="Times New Roman;serif"/>
          <w:b w:val="false"/>
          <w:color w:val="000000"/>
          <w:sz w:val="24"/>
        </w:rPr>
        <w:t xml:space="preserve">) to sell such Placement Shares up to the amount specified in such Placement Notice, and otherwise in accordance with the terms of such Placement Notice. TD Cowen will provide written confirmation to the Company (including by email correspondence to each of the individuals of the Company set forth on </w:t>
      </w:r>
      <w:r>
        <w:rPr>
          <w:rFonts w:ascii="Times New Roman;serif" w:hAnsi="Times New Roman;serif"/>
          <w:b/>
          <w:color w:val="000000"/>
          <w:sz w:val="24"/>
          <w:u w:val="single"/>
        </w:rPr>
        <w:t>Schedule 2</w:t>
      </w:r>
      <w:r>
        <w:rPr>
          <w:rFonts w:ascii="Times New Roman;serif" w:hAnsi="Times New Roman;serif"/>
          <w:b w:val="false"/>
          <w:color w:val="000000"/>
          <w:sz w:val="24"/>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serif" w:hAnsi="Times New Roman;serif"/>
          <w:b/>
          <w:color w:val="000000"/>
          <w:sz w:val="24"/>
          <w:u w:val="single"/>
        </w:rPr>
        <w:t>Block Sale</w:t>
      </w:r>
      <w:r>
        <w:rPr>
          <w:color w:val="000000"/>
        </w:rPr>
        <w:t>”</w:t>
      </w:r>
      <w:r>
        <w:rPr>
          <w:rFonts w:ascii="Times New Roman;serif" w:hAnsi="Times New Roman;serif"/>
          <w:b w:val="false"/>
          <w:color w:val="000000"/>
          <w:sz w:val="24"/>
        </w:rPr>
        <w:t xml:space="preserve">), the Company will provide TD Cowen, at TD Cowen’s request and upon reasonable advance notice to the Company, on or prior to the Settlement Date (as defined below), the opinions of counsel, accountant’s letter and officers’ certificates set forth in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hereof, each dated the Settlement Date, and such other documents and information as TD Cowen shall reasonably request. Subject to the terms and conditions of the applicable Placement Notice, TD Cowen may sell Placement Shares in negotiated transactions, including block trades or Block Sales, or by any method permitted by law deemed to be an “at the market” offering as defined in </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6"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Rule 415 of the Securities Act, including without limitation sales made through Nasdaq or on any other existing trading market for the Common Stock, or by any other method permitted by law. TD Cowen shall not purchase Placement Shares for its own account as principal unless expressly 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For the purposes hereof, “</w:t>
      </w:r>
      <w:r>
        <w:rPr>
          <w:rFonts w:ascii="Times New Roman;serif" w:hAnsi="Times New Roman;serif"/>
          <w:b/>
          <w:color w:val="000000"/>
          <w:sz w:val="24"/>
          <w:u w:val="single"/>
        </w:rPr>
        <w:t>Trading Day</w:t>
      </w:r>
      <w:r>
        <w:rPr>
          <w:color w:val="000000"/>
        </w:rPr>
        <w:t xml:space="preserve">” </w:t>
      </w:r>
      <w:r>
        <w:rPr>
          <w:rFonts w:ascii="Times New Roman;serif" w:hAnsi="Times New Roman;serif"/>
          <w:b w:val="false"/>
          <w:color w:val="000000"/>
          <w:sz w:val="24"/>
        </w:rPr>
        <w:t>means any day on which the Company’s Common Stock is purchased and sold on the principal market on which the Common Stock is listed or quoted.</w:t>
      </w:r>
    </w:p>
    <w:p>
      <w:pPr>
        <w:pStyle w:val="TextBody"/>
        <w:bidi w:val="0"/>
        <w:spacing w:lineRule="auto" w:line="288" w:before="0" w:after="240"/>
        <w:jc w:val="both"/>
        <w:rPr/>
      </w:pPr>
      <w:r>
        <w:rPr>
          <w:rFonts w:ascii="Times New Roman;serif" w:hAnsi="Times New Roman;serif"/>
          <w:b w:val="false"/>
          <w:color w:val="000000"/>
          <w:sz w:val="24"/>
        </w:rPr>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could reasonably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serif" w:hAnsi="Times New Roman;serif"/>
          <w:b/>
          <w:color w:val="000000"/>
          <w:sz w:val="24"/>
          <w:u w:val="single"/>
        </w:rPr>
        <w:t>Earnings Announcement</w:t>
      </w:r>
      <w:r>
        <w:rPr>
          <w:color w:val="000000"/>
        </w:rPr>
        <w:t>”</w:t>
      </w:r>
      <w:r>
        <w:rPr>
          <w:rFonts w:ascii="Times New Roman;serif" w:hAnsi="Times New Roman;serif"/>
          <w:b w:val="false"/>
          <w:color w:val="000000"/>
          <w:sz w:val="24"/>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Suspension of Sales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Company or TD Cowen may, upon notice to the other party in writing (including by email correspondence to each of the individuals of the other party set forth on </w:t>
      </w:r>
      <w:r>
        <w:rPr>
          <w:rFonts w:ascii="Times New Roman;serif" w:hAnsi="Times New Roman;serif"/>
          <w:b/>
          <w:color w:val="000000"/>
          <w:sz w:val="24"/>
          <w:u w:val="single"/>
        </w:rPr>
        <w:t>Schedule 2</w:t>
      </w:r>
      <w:r>
        <w:rPr>
          <w:rFonts w:ascii="Times New Roman;serif" w:hAnsi="Times New Roman;serif"/>
          <w:b w:val="false"/>
          <w:color w:val="000000"/>
          <w:sz w:val="24"/>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serif" w:hAnsi="Times New Roman;serif"/>
          <w:b/>
          <w:color w:val="000000"/>
          <w:sz w:val="24"/>
          <w:u w:val="single"/>
        </w:rPr>
        <w:t>Schedule 2</w:t>
      </w:r>
      <w:r>
        <w:rPr>
          <w:rFonts w:ascii="Times New Roman;serif" w:hAnsi="Times New Roman;serif"/>
          <w:b w:val="false"/>
          <w:color w:val="000000"/>
          <w:sz w:val="24"/>
        </w:rPr>
        <w:t xml:space="preserve">), suspend any sale of Placement Shares;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such suspension shall not affect or impair either party’s obligations with respect to any Placement Shares sold hereunder prior to the receipt of such notice. While a suspension is in effect, any obligation under Sections 7(m), 7(n), 7(o), 7(p) and 7(q) with respect to the delivery of certificates, opinions, or comfort letters to TD Cowen, shall be waived. Each of the parties agrees that no such notice under this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shall be effective against the other unless it is made to one of the individuals named on </w:t>
      </w:r>
      <w:r>
        <w:rPr>
          <w:rFonts w:ascii="Times New Roman;serif" w:hAnsi="Times New Roman;serif"/>
          <w:b/>
          <w:color w:val="000000"/>
          <w:sz w:val="24"/>
          <w:u w:val="single"/>
        </w:rPr>
        <w:t>Schedule 2</w:t>
      </w:r>
      <w:r>
        <w:rPr>
          <w:color w:val="000000"/>
        </w:rPr>
        <w:t xml:space="preserve"> </w:t>
      </w:r>
      <w:r>
        <w:rPr>
          <w:rFonts w:ascii="Times New Roman;serif" w:hAnsi="Times New Roman;serif"/>
          <w:b w:val="false"/>
          <w:color w:val="000000"/>
          <w:sz w:val="24"/>
        </w:rPr>
        <w:t>hereto, as such schedule may be amended in writing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7"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Settlement.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Settlement of Placement Shares</w:t>
      </w:r>
      <w:r>
        <w:rPr>
          <w:rFonts w:ascii="Times New Roman;serif" w:hAnsi="Times New Roman;serif"/>
          <w:b w:val="false"/>
          <w:color w:val="000000"/>
          <w:sz w:val="24"/>
        </w:rPr>
        <w:t>. Unless otherwise specified in the applicable Placement Notice, settlement for sales of Placement Shares will occur on the first (1</w:t>
      </w:r>
      <w:r>
        <w:rPr>
          <w:rFonts w:ascii="Times New Roman;serif" w:hAnsi="Times New Roman;serif"/>
          <w:b w:val="false"/>
          <w:color w:val="000000"/>
          <w:sz w:val="16"/>
        </w:rPr>
        <w:t>st</w:t>
      </w:r>
      <w:r>
        <w:rPr>
          <w:rFonts w:ascii="Times New Roman;serif" w:hAnsi="Times New Roman;serif"/>
          <w:b w:val="false"/>
          <w:color w:val="000000"/>
          <w:sz w:val="24"/>
        </w:rPr>
        <w:t>) Trading Day following the trade date on which such sales are made (each, a “</w:t>
      </w:r>
      <w:r>
        <w:rPr>
          <w:rFonts w:ascii="Times New Roman;serif" w:hAnsi="Times New Roman;serif"/>
          <w:b/>
          <w:color w:val="000000"/>
          <w:sz w:val="24"/>
          <w:u w:val="single"/>
        </w:rPr>
        <w:t>Settlement Date</w:t>
      </w:r>
      <w:r>
        <w:rPr>
          <w:color w:val="000000"/>
        </w:rPr>
        <w:t xml:space="preserve">” </w:t>
      </w:r>
      <w:r>
        <w:rPr>
          <w:rFonts w:ascii="Times New Roman;serif" w:hAnsi="Times New Roman;serif"/>
          <w:b w:val="false"/>
          <w:color w:val="000000"/>
          <w:sz w:val="24"/>
        </w:rPr>
        <w:t>and the first such Settlement Date, the “</w:t>
      </w:r>
      <w:r>
        <w:rPr>
          <w:rFonts w:ascii="Times New Roman;serif" w:hAnsi="Times New Roman;serif"/>
          <w:b/>
          <w:color w:val="000000"/>
          <w:sz w:val="24"/>
          <w:u w:val="single"/>
        </w:rPr>
        <w:t>First Delivery Date</w:t>
      </w:r>
      <w:r>
        <w:rPr>
          <w:color w:val="000000"/>
        </w:rPr>
        <w:t>”</w:t>
      </w:r>
      <w:r>
        <w:rPr>
          <w:rFonts w:ascii="Times New Roman;serif" w:hAnsi="Times New Roman;serif"/>
          <w:b w:val="false"/>
          <w:color w:val="000000"/>
          <w:sz w:val="24"/>
        </w:rPr>
        <w:t>). The amount of proceeds to be delivered to the Company on a Settlement Date against receipt of the Placement Shares sold (the “</w:t>
      </w:r>
      <w:r>
        <w:rPr>
          <w:rFonts w:ascii="Times New Roman;serif" w:hAnsi="Times New Roman;serif"/>
          <w:b/>
          <w:color w:val="000000"/>
          <w:sz w:val="24"/>
          <w:u w:val="single"/>
        </w:rPr>
        <w:t>Net Proceeds</w:t>
      </w:r>
      <w:r>
        <w:rPr>
          <w:color w:val="000000"/>
        </w:rPr>
        <w:t>”</w:t>
      </w:r>
      <w:r>
        <w:rPr>
          <w:rFonts w:ascii="Times New Roman;serif" w:hAnsi="Times New Roman;serif"/>
          <w:b w:val="false"/>
          <w:color w:val="000000"/>
          <w:sz w:val="24"/>
        </w:rPr>
        <w:t xml:space="preserve">) will be equal to the aggregate sales price received by TD Cowen at which such Placement Shares were sold, after deduction for (i) TD Cowen’s commission, discount or other compensation for such sales payable by the Company pursuant to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hereof, (ii) any other amounts due and payable by the Company to TD Cowen hereunder pursuant to </w:t>
      </w:r>
      <w:r>
        <w:rPr>
          <w:rFonts w:ascii="Times New Roman;serif" w:hAnsi="Times New Roman;serif"/>
          <w:b w:val="false"/>
          <w:color w:val="000000"/>
          <w:sz w:val="24"/>
          <w:u w:val="single"/>
        </w:rPr>
        <w:t>Section 7(g)</w:t>
      </w:r>
      <w:r>
        <w:rPr>
          <w:color w:val="000000"/>
        </w:rPr>
        <w:t xml:space="preserve"> </w:t>
      </w:r>
      <w:r>
        <w:rPr>
          <w:rFonts w:ascii="Times New Roman;serif" w:hAnsi="Times New Roman;serif"/>
          <w:b w:val="false"/>
          <w:color w:val="000000"/>
          <w:sz w:val="24"/>
        </w:rPr>
        <w:t xml:space="preserve">(Expenses) hereof, and (iii) any transaction fees imposed by any governmental or self-regulatory organization in respect of such sales.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Delivery of Placement Shares</w:t>
      </w:r>
      <w:r>
        <w:rPr>
          <w:rFonts w:ascii="Times New Roman;serif" w:hAnsi="Times New Roman;serif"/>
          <w:b w:val="false"/>
          <w:color w:val="000000"/>
          <w:sz w:val="24"/>
        </w:rPr>
        <w:t xml:space="preserve">. On or before each Settlement Date, the Company will, or will cause its transfer agent to, electronically transfer the Placement Shares being sold by crediting TD Cowen’s or its designee’s account (provided TD Cowen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TD Cowen will deliver the related Net Proceeds in same day funds to an account designated by the Company on, or prior to, the Settlement Date. TD Cowen will be responsible for providing DWAC instructions or instructions for delivery by other means with regard to the transfer of the Placement Shares being sold. The Company agrees that if the Company, or its transfer agent (if applicable), defaults in its obligation to deliver duly authorized Placement Shares on a Settlement Date through no fault of TD Cowen, in addition to and in no way limiting the rights and obligations set forth in </w:t>
      </w:r>
      <w:r>
        <w:rPr>
          <w:rFonts w:ascii="Times New Roman;serif" w:hAnsi="Times New Roman;serif"/>
          <w:b w:val="false"/>
          <w:color w:val="000000"/>
          <w:sz w:val="24"/>
          <w:u w:val="single"/>
        </w:rPr>
        <w:t>Section 9(a)</w:t>
      </w:r>
      <w:r>
        <w:rPr>
          <w:color w:val="000000"/>
        </w:rPr>
        <w:t xml:space="preserve"> </w:t>
      </w:r>
      <w:r>
        <w:rPr>
          <w:rFonts w:ascii="Times New Roman;serif" w:hAnsi="Times New Roman;serif"/>
          <w:b w:val="false"/>
          <w:color w:val="000000"/>
          <w:sz w:val="24"/>
        </w:rPr>
        <w:t>(Indemnification and Contribution) hereto, it will (i) hold TD Cowen harmless against any loss, claim, damage, or reasonable and documented expense (including reasonable and documented legal fees and expenses), as incurred, arising out of or in connection with such default by the Company and (ii) pay to TD Cowen (without duplication) any commission, discount, or other compensation to which it would otherwise have been entitled absent such default.</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Representations and Warranties of the Company</w:t>
      </w:r>
      <w:r>
        <w:rPr>
          <w:rFonts w:ascii="Times New Roman;serif" w:hAnsi="Times New Roman;serif"/>
          <w:b w:val="false"/>
          <w:color w:val="000000"/>
          <w:sz w:val="24"/>
        </w:rPr>
        <w:t>. Except as disclosed in the Registration Statement or the Prospectus, the Company represents and warrants to, and agrees with, TD Cowen that, unless such representation, warranty or agreement specifies a different time, as of (i) the date of this Agreement, (ii) each Time of Sale (as defined below), (iii) each Settlement Date, and (iv) each Bring-Down Date (as defined below) (each date included in (i) through (iv), a “</w:t>
      </w:r>
      <w:r>
        <w:rPr>
          <w:rFonts w:ascii="Times New Roman;serif" w:hAnsi="Times New Roman;serif"/>
          <w:b/>
          <w:color w:val="000000"/>
          <w:sz w:val="24"/>
          <w:u w:val="single"/>
        </w:rPr>
        <w:t>Representation Date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Compliance with Registration Requirements</w:t>
      </w:r>
      <w:r>
        <w:rPr>
          <w:rFonts w:ascii="Times New Roman;serif" w:hAnsi="Times New Roman;serif"/>
          <w:b w:val="false"/>
          <w:color w:val="000000"/>
          <w:sz w:val="24"/>
        </w:rPr>
        <w:t xml:space="preserve">. Prior to the issuance of any Placement Notice by the Company, the Registration Statement and any Rule 462(b) Registration Statement with respect to the Registration Statement will have been filed and declared effective by the Commission under the Securities Act. The Company has complied, or will comply, to the </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8"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Commission’s satisfaction, with all requests of the Commission for additional or supplemental information related to the Registration Statement. No stop order suspending the effectiveness of the Registration Statement or any Rule 462(b) Registration Statement is in effect and no proceedings for such purpose have been instituted or are pending or, to the knowledge of the Company, threatened by the Commission. The Company meets the requirements for use of Form S-3 under the Securities Act. The sale of the Placement Shares hereunder meets the requirements of General Instruction I.B.1 of Form S-3.</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Misstatement or Omission</w:t>
      </w:r>
      <w:r>
        <w:rPr>
          <w:rFonts w:ascii="Times New Roman;serif" w:hAnsi="Times New Roman;serif"/>
          <w:b w:val="false"/>
          <w:color w:val="000000"/>
          <w:sz w:val="24"/>
        </w:rPr>
        <w:t>. The Prospectus, when filed will comply and, as amended or supplemented, if applicable, will comply in all material respects with the Securities Act. Each of the Registration Statement, any Rule 462(b) Registration Statement, the Prospectus and any post-effective amendments or supplements thereto, at the time it becomes effective or its date, as applicable, will comply and as of each Representation Date, the date on which a Placement Notice is given and any date on which Placement Shares are sold hereunder (each, an “</w:t>
      </w:r>
      <w:r>
        <w:rPr>
          <w:rFonts w:ascii="Times New Roman;serif" w:hAnsi="Times New Roman;serif"/>
          <w:b/>
          <w:color w:val="000000"/>
          <w:sz w:val="24"/>
          <w:u w:val="single"/>
        </w:rPr>
        <w:t>Applicable Time</w:t>
      </w:r>
      <w:r>
        <w:rPr>
          <w:color w:val="000000"/>
        </w:rPr>
        <w:t>”</w:t>
      </w:r>
      <w:r>
        <w:rPr>
          <w:rFonts w:ascii="Times New Roman;serif" w:hAnsi="Times New Roman;serif"/>
          <w:b w:val="false"/>
          <w:color w:val="000000"/>
          <w:sz w:val="24"/>
        </w:rPr>
        <w:t>), will comply in all material respects with the Securities Act and, as of each Applicable Time, will not contain any untrue statement of a material fact or omit to state a material fact required to be stated therein or necessary to make the statements therein not misleading. The Prospectus, as amended or supplemented, as of its date, and, as of each Applicable Time,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serif" w:hAnsi="Times New Roman;serif"/>
          <w:b/>
          <w:color w:val="000000"/>
          <w:sz w:val="24"/>
          <w:u w:val="single"/>
        </w:rPr>
        <w:t>Time of Sale</w:t>
      </w:r>
      <w:r>
        <w:rPr>
          <w:color w:val="000000"/>
        </w:rPr>
        <w:t xml:space="preserve">” </w:t>
      </w:r>
      <w:r>
        <w:rPr>
          <w:rFonts w:ascii="Times New Roman;serif" w:hAnsi="Times New Roman;serif"/>
          <w:b w:val="false"/>
          <w:color w:val="000000"/>
          <w:sz w:val="24"/>
        </w:rPr>
        <w:t>means with respect to each offering of Placement Shares pursuant to this Agreement, the time of TD Cowen’s initial entry into contracts with purchasers for the sale of such Placement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Offering Materials Furnished to TD Cowen</w:t>
      </w:r>
      <w:r>
        <w:rPr>
          <w:rFonts w:ascii="Times New Roman;serif" w:hAnsi="Times New Roman;serif"/>
          <w:b w:val="false"/>
          <w:color w:val="000000"/>
          <w:sz w:val="24"/>
        </w:rPr>
        <w:t xml:space="preserve">. The Company has delivered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 The Registration Statement, the Prospectus and any Permitted Free Writing Prospectus (to the extent any such Permitted Free Writing Prospectus was required to be filed with the Commission) delivered to TD Cowen for use in connection with the public offering of the Placement Shares contemplated herein have been and will be identical to the versions of such documents transmitted to the Commission for filing via EDGAR, except to the extent permitted by Regulation S-T. </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Ineligible Issuer</w:t>
      </w:r>
      <w:r>
        <w:rPr>
          <w:rFonts w:ascii="Times New Roman;serif" w:hAnsi="Times New Roman;serif"/>
          <w:b w:val="false"/>
          <w:color w:val="000000"/>
          <w:sz w:val="24"/>
        </w:rPr>
        <w:t xml:space="preserve">. The Company has not prepared, used or referred to, and for so long as the Company is an “ineligible issuer” as defined in Rule 405 of the Securities Act, the </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9"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 will not use or refer to, any free writing prospectus as defined in Rule 405 of the Securities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Distribution of Offering Material By the Company</w:t>
      </w:r>
      <w:r>
        <w:rPr>
          <w:rFonts w:ascii="Times New Roman;serif" w:hAnsi="Times New Roman;serif"/>
          <w:b w:val="false"/>
          <w:color w:val="000000"/>
          <w:sz w:val="24"/>
        </w:rPr>
        <w:t>. The Company has not distributed and will not distribute, prior to the completion of TD Cowen’s distribution of the Placement Shares, any offering material in connection with the offering and sale of the Placement Shares other than the Prospectus or the Registration Statement.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The Sales Agreement</w:t>
      </w:r>
      <w:r>
        <w:rPr>
          <w:rFonts w:ascii="Times New Roman;serif" w:hAnsi="Times New Roman;serif"/>
          <w:b w:val="false"/>
          <w:color w:val="000000"/>
          <w:sz w:val="24"/>
        </w:rPr>
        <w:t xml:space="preserve">.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Authorization of the Common Stock</w:t>
      </w:r>
      <w:r>
        <w:rPr>
          <w:rFonts w:ascii="Times New Roman;serif" w:hAnsi="Times New Roman;serif"/>
          <w:b w:val="false"/>
          <w:color w:val="000000"/>
          <w:sz w:val="24"/>
        </w:rPr>
        <w:t>. 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 free and clear of any pledge, lien, encumbrance, security interest or other claim, and the issuance and sale of the Placement Shares by the Company is not subject to preemptive or other similar rights arising by operation of law, under the organizational documents of the Company or under any agreement to which the Company or any of its subsidiaries is a party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No Applicable Registration or Other Similar Rights</w:t>
      </w:r>
      <w:r>
        <w:rPr>
          <w:rFonts w:ascii="Times New Roman;serif" w:hAnsi="Times New Roman;serif"/>
          <w:b w:val="false"/>
          <w:color w:val="000000"/>
          <w:sz w:val="24"/>
        </w:rPr>
        <w:t xml:space="preserve">. There are no persons with registration or other similar rights to have any equity or debt securities registered for sale under the Registration Statement or included in the offering contemplated by this Agreement, except for such rights as have been duly waived or otherwise complied with. </w:t>
      </w:r>
    </w:p>
    <w:p>
      <w:pPr>
        <w:pStyle w:val="TextBody"/>
        <w:bidi w:val="0"/>
        <w:spacing w:lineRule="auto" w:line="288"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No Material Adverse Change</w:t>
      </w:r>
      <w:r>
        <w:rPr>
          <w:rFonts w:ascii="Times New Roman;serif" w:hAnsi="Times New Roman;serif"/>
          <w:b w:val="false"/>
          <w:color w:val="000000"/>
          <w:sz w:val="24"/>
        </w:rPr>
        <w:t>. Except as otherwise disclosed in the Registration Statement or the Prospectus, subsequent to the respective dates as of which information is given in the Prospectus: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considered as one entity (any such change is called a “</w:t>
      </w:r>
      <w:r>
        <w:rPr>
          <w:rFonts w:ascii="Times New Roman;serif" w:hAnsi="Times New Roman;serif"/>
          <w:b/>
          <w:color w:val="000000"/>
          <w:sz w:val="24"/>
          <w:u w:val="single"/>
        </w:rPr>
        <w:t>Material Adverse Change</w:t>
      </w:r>
      <w:r>
        <w:rPr>
          <w:color w:val="000000"/>
        </w:rPr>
        <w:t>”</w:t>
      </w:r>
      <w:r>
        <w:rPr>
          <w:rFonts w:ascii="Times New Roman;serif" w:hAnsi="Times New Roman;serif"/>
          <w:b w:val="false"/>
          <w:color w:val="000000"/>
          <w:sz w:val="24"/>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regular quarterly dividends publicly announced by the Company or dividends paid to the Company or other subsidiaries, by any of its subsidiaries on any class of capital stock or repurchase or redemption by the Company or any of its subsidiaries of any class of capital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Independent Accountants</w:t>
      </w:r>
      <w:r>
        <w:rPr>
          <w:rFonts w:ascii="Times New Roman;serif" w:hAnsi="Times New Roman;serif"/>
          <w:b w:val="false"/>
          <w:color w:val="000000"/>
          <w:sz w:val="24"/>
        </w:rPr>
        <w:t xml:space="preserve">. PricewaterhouseCoopers LLP, who has expressed its opinion with respect to the financial statements (which term as used in this Agreement includes </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0"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related notes thereto) and supporting schedules filed with the Commission or incorporated by reference as a part of the Registration Statement and included in the Prospectus, is an independent registered public accounting firm as required by the Securities Act and the Exchange Act. </w:t>
      </w:r>
    </w:p>
    <w:p>
      <w:pPr>
        <w:pStyle w:val="TextBody"/>
        <w:bidi w:val="0"/>
        <w:spacing w:lineRule="auto" w:line="288"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Preparation of the Financial Statements</w:t>
      </w:r>
      <w:r>
        <w:rPr>
          <w:rFonts w:ascii="Times New Roman;serif" w:hAnsi="Times New Roman;serif"/>
          <w:b w:val="false"/>
          <w:color w:val="000000"/>
          <w:sz w:val="24"/>
        </w:rPr>
        <w:t>. The financial statements filed with the Commission as a part of or incorporated by reference in the Registration Statement and included in the Prospectus present fairly in all material respects the consolidated financial position of the Company and its subsidiaries as of and at the dates indicated and the results of their operations and cash flows for the periods specified. The supporting schedules included in or incorporated in the Registration Statement present fairly the information required to be stated therein. Such financial statements and supporting schedules have been prepared in conformity with generally accepted accounting principles as applied in the United States applied on a consistent basis throughout the periods involved, except as may be expressly stated in the related notes thereto. The other financial information included in each of the Registration Statement and the Prospectus has been derived from the accounting records of the Company and its consolidated subsidiaries and presents fairly in all material respects the information shown thereby. The statistical, industry-related and market-related data included in the Registration Statement and the Prospectus are based on or derived from sources which the Company reasonably and in good faith believes are reliable and accurate and such data is consistent with the sources from which they are derived, in each case in all material respects. No other financial statements or supporting schedules are required to be included in or incorporated in the Registration Statement.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XBRL</w:t>
      </w:r>
      <w:r>
        <w:rPr>
          <w:rFonts w:ascii="Times New Roman;serif" w:hAnsi="Times New Roman;serif"/>
          <w:b w:val="false"/>
          <w:color w:val="000000"/>
          <w:sz w:val="24"/>
        </w:rPr>
        <w:t>. The interactive data in eXtensible Business Reporting Language included or incorporated by reference in each Registration Statement fairly presents the information called for in all material respects and has been prepared in accordance with the Commission’s rules and guidelines applicable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Incorporation and Good Standing of the Company and its Subsidiaries</w:t>
      </w:r>
      <w:r>
        <w:rPr>
          <w:rFonts w:ascii="Times New Roman;serif" w:hAnsi="Times New Roman;serif"/>
          <w:b w:val="false"/>
          <w:color w:val="000000"/>
          <w:sz w:val="24"/>
        </w:rPr>
        <w:t xml:space="preserve">. The Company has been duly incorporated and is validly existing as a corporation in good standing under the laws of the jurisdiction of its incorporation and has corporate power and authority to own, lease and operate its properties and to conduct its business as described in the Prospectus and to enter into and perform its obligations under this Agreement and to consummate the transactions contemplated herein and therein, except where the failure to be in good standing or have such power or authority would not, individually or in the aggregate, result in a Material Adverse Change. Each subsidiary of the Company has been duly organized and is validly existing as a corporation or limited liability company in good standing under the laws of the jurisdiction of its organization and has the requisite power and authority to own, lease and operate its properties and to conduct its business as described in the Prospectus, except where the failure to be in good standing or have such power or authority would not, individually or in the aggregate, result in a Material Adverse Change. Each of the Company and its subsidiaries is duly qualified as a foreign corporation or foreign partnership to transact business and is in good standing under the laws of the jurisdiction of its incorporation or formation and each other jurisdiction in which such qualification is required, whether by reason of the ownership or leasing of property or the conduct of business, except for such jurisdictions where the failure to so qualify or to be in good </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1"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standing would not, individually or in the aggregate, result in a Material Adverse Change. Except as described in the Prospectus, all of the issued and outstanding equity interests of the Company’s subsidiaries have been duly authorized and validly issued, are fully paid and nonassessable and are owned by the Company free and clear of any security interest, mortgage, pledge, lien, encumbrance or claim.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pStyle w:val="TextBody"/>
        <w:bidi w:val="0"/>
        <w:spacing w:lineRule="auto" w:line="288"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Capital Stock Matters</w:t>
      </w:r>
      <w:r>
        <w:rPr>
          <w:rFonts w:ascii="Times New Roman;serif" w:hAnsi="Times New Roman;serif"/>
          <w:b w:val="false"/>
          <w:color w:val="000000"/>
          <w:sz w:val="24"/>
        </w:rPr>
        <w:t xml:space="preserve">. The Common Stock conforms in all material respects to the description thereof contained in the Prospectus. All of the issued and outstanding shares of Common Stock have been duly authorized and validly issued, are fully paid and nonassessable and have been issued in compliance with federal and state securities laws.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all material respects in the Prospectus.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Non-Contravention of Existing Instruments; No Further Authorizations or Approvals Required</w:t>
      </w:r>
      <w:r>
        <w:rPr>
          <w:rFonts w:ascii="Times New Roman;serif" w:hAnsi="Times New Roman;serif"/>
          <w:b w:val="false"/>
          <w:color w:val="000000"/>
          <w:sz w:val="24"/>
        </w:rPr>
        <w:t>. Neither the Company nor any of its subsidiaries is in violation of its charter or bylaws or is in default (or, with the giving of notice or lapse of time, would be in default) (“</w:t>
      </w:r>
      <w:r>
        <w:rPr>
          <w:rFonts w:ascii="Times New Roman;serif" w:hAnsi="Times New Roman;serif"/>
          <w:b/>
          <w:color w:val="000000"/>
          <w:sz w:val="24"/>
          <w:u w:val="single"/>
        </w:rPr>
        <w:t>Default</w:t>
      </w:r>
      <w:r>
        <w:rPr>
          <w:color w:val="000000"/>
        </w:rPr>
        <w:t>”</w:t>
      </w:r>
      <w:r>
        <w:rPr>
          <w:rFonts w:ascii="Times New Roman;serif" w:hAnsi="Times New Roman;serif"/>
          <w:b w:val="false"/>
          <w:color w:val="000000"/>
          <w:sz w:val="24"/>
        </w:rPr>
        <w:t>) under any indenture, mortgage, loan or credit agreement, note, contract, franchise, lease or other instrument to which the Company or any of its subsidiaries is a party or by which it or any of them may be bound, or to which any of the property or assets of the Company or any of its subsidiaries is subject (each, an “</w:t>
      </w:r>
      <w:r>
        <w:rPr>
          <w:rFonts w:ascii="Times New Roman;serif" w:hAnsi="Times New Roman;serif"/>
          <w:b/>
          <w:color w:val="000000"/>
          <w:sz w:val="24"/>
          <w:u w:val="single"/>
        </w:rPr>
        <w:t>Existing Instrument</w:t>
      </w:r>
      <w:r>
        <w:rPr>
          <w:color w:val="000000"/>
        </w:rPr>
        <w:t>”</w:t>
      </w:r>
      <w:r>
        <w:rPr>
          <w:rFonts w:ascii="Times New Roman;serif" w:hAnsi="Times New Roman;serif"/>
          <w:b w:val="false"/>
          <w:color w:val="000000"/>
          <w:sz w:val="24"/>
        </w:rPr>
        <w:t xml:space="preserve">), except for such Defaults as would not, individually or in the aggregate, result in a Material Adverse Change. The Company’s execution, delivery and performance of this Agreement and consummation of the transactions contemplated hereby and by the Prospectus (i) have been duly authorized by all necessary corporate action and will not result in any violation of the provisions of the charter or bylaws of the Company or any Subsidiary, (ii) will not conflict with or constitute a breach of, or Default under, or result in the creation or imposition of any lien, charge or encumbrance upon any property or assets of the Company or any of its subsidiaries pursuant to, or require the consent of any other party to, any Existing Instrument, except for such conflicts, breaches, Defaults, liens, charges or encumbrances as would not, individually or in the aggregate, result in a Material Adverse Change and (iii) will not result in any violation of any law, administrative regulation or administrative or court decree applicable to the Company or any Subsidiary, except for such violations as would not, individually or in the aggregate, result in a Material Adverse </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2"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Prospectus, except such as have been obtained or made by the Company and are in full force and effect under the Securities Act, applicable state securities or blue sky laws and from the Financial Industry Regulatory Authority (“</w:t>
      </w:r>
      <w:r>
        <w:rPr>
          <w:rFonts w:ascii="Times New Roman;serif" w:hAnsi="Times New Roman;serif"/>
          <w:b/>
          <w:color w:val="000000"/>
          <w:sz w:val="24"/>
          <w:u w:val="single"/>
        </w:rPr>
        <w:t>FINRA</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No Material Actions or Proceedings</w:t>
      </w:r>
      <w:r>
        <w:rPr>
          <w:rFonts w:ascii="Times New Roman;serif" w:hAnsi="Times New Roman;serif"/>
          <w:b w:val="false"/>
          <w:color w:val="000000"/>
          <w:sz w:val="24"/>
        </w:rPr>
        <w:t xml:space="preserve">. Except as disclosed in the Prospectus, there are no legal or governmental actions, suits or proceedings pending or, to the best of the Company’s knowledge, threatened (i) against or affecting the Company or any of its subsidiaries, (ii) which has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or any of its subsidiaries and (B) any such action, suit or proceeding, if so determined adversely, would reasonably be expected to result in a Material Adverse Change or adversely affect the consummation of the transactions contemplated by this Agreement. No material labor dispute with the employees of the Company or any of its subsidiaries exists or, to the Company’s knowledge, is threatened.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u w:val="single"/>
        </w:rPr>
        <w:t>All Necessary Permits, etc</w:t>
      </w:r>
      <w:r>
        <w:rPr>
          <w:rFonts w:ascii="Times New Roman;serif" w:hAnsi="Times New Roman;serif"/>
          <w:b w:val="false"/>
          <w:color w:val="000000"/>
          <w:sz w:val="24"/>
        </w:rPr>
        <w:t xml:space="preserve">. The Company and each of its subsidiaries possess such valid and current certificates, authorizations or permits issued by the appropriate state, federal or foreign regulatory agencies or bodies necessary to conduct their respective businesses and as required by applicable law, other than those the failure to possess or own would not result in a Material Adverse Change, and neither the Company nor any of its subsidiaries has received any notice of proceedings relating to the revocation or modification of, or non-compliance with, any such certificate, authorization or permit which, singly or in the aggregate, if the subject of an unfavorable decision, ruling or finding, could result in a Material Adverse Change. </w:t>
      </w:r>
    </w:p>
    <w:p>
      <w:pPr>
        <w:pStyle w:val="TextBody"/>
        <w:bidi w:val="0"/>
        <w:spacing w:lineRule="auto" w:line="288" w:before="0" w:after="240"/>
        <w:ind w:left="0" w:right="0" w:firstLine="720"/>
        <w:jc w:val="both"/>
        <w:rPr/>
      </w:pPr>
      <w:r>
        <w:rPr>
          <w:rFonts w:ascii="Times New Roman;serif" w:hAnsi="Times New Roman;serif"/>
          <w:b w:val="false"/>
          <w:color w:val="000000"/>
          <w:sz w:val="24"/>
        </w:rPr>
        <w:t>(s)</w:t>
      </w:r>
      <w:r>
        <w:rPr>
          <w:rFonts w:ascii="Times New Roman;serif" w:hAnsi="Times New Roman;serif"/>
          <w:b w:val="false"/>
          <w:color w:val="000000"/>
          <w:sz w:val="24"/>
          <w:u w:val="single"/>
        </w:rPr>
        <w:t>Tax Law Compliance</w:t>
      </w:r>
      <w:r>
        <w:rPr>
          <w:rFonts w:ascii="Times New Roman;serif" w:hAnsi="Times New Roman;serif"/>
          <w:b w:val="false"/>
          <w:color w:val="000000"/>
          <w:sz w:val="24"/>
        </w:rPr>
        <w:t xml:space="preserve">. The Company and its consolidated subsidiaries have filed all necessary federal, state and foreign income, property and franchise tax returns other than those the failure to file would not result in a Material Adverse Change, and have paid all taxes required to be paid by any of them and, if due and payable, any related or similar assessment, fine or penalty levied against any of them except as may be being contested in good faith and by appropriate proceedings or such amounts the failure to pay would not result in a Material Adverse Change. The Company has made charges, accruals and reserves in accordance with GAAP in the applicable financial statements referred to in </w:t>
      </w:r>
      <w:r>
        <w:rPr>
          <w:rFonts w:ascii="Times New Roman;serif" w:hAnsi="Times New Roman;serif"/>
          <w:b w:val="false"/>
          <w:color w:val="000000"/>
          <w:sz w:val="24"/>
          <w:u w:val="single"/>
        </w:rPr>
        <w:t>Section 6(k)</w:t>
      </w:r>
      <w:r>
        <w:rPr>
          <w:color w:val="000000"/>
        </w:rPr>
        <w:t xml:space="preserve"> </w:t>
      </w:r>
      <w:r>
        <w:rPr>
          <w:rFonts w:ascii="Times New Roman;serif" w:hAnsi="Times New Roman;serif"/>
          <w:b w:val="false"/>
          <w:color w:val="000000"/>
          <w:sz w:val="24"/>
        </w:rPr>
        <w:t xml:space="preserve">above in respect of all material federal, state and foreign income, property and franchise taxes for all periods as to which the tax liability of the Company or any of its consolidated subsidiaries has not been finally determined.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(t)</w:t>
      </w:r>
      <w:r>
        <w:rPr>
          <w:rFonts w:ascii="Times New Roman;serif" w:hAnsi="Times New Roman;serif"/>
          <w:b w:val="false"/>
          <w:color w:val="000000"/>
          <w:sz w:val="24"/>
          <w:u w:val="single"/>
        </w:rPr>
        <w:t>Company Not an “Investment Company</w:t>
      </w:r>
      <w:r>
        <w:rPr>
          <w:color w:val="000000"/>
        </w:rPr>
        <w:t>”</w:t>
      </w:r>
      <w:r>
        <w:rPr>
          <w:rFonts w:ascii="Times New Roman;serif" w:hAnsi="Times New Roman;serif"/>
          <w:b w:val="false"/>
          <w:color w:val="000000"/>
          <w:sz w:val="24"/>
        </w:rPr>
        <w:t>. The Company has been advised of the rules and requirements under the Investment Company Act of 1940, as amended (the “</w:t>
      </w:r>
      <w:r>
        <w:rPr>
          <w:rFonts w:ascii="Times New Roman;serif" w:hAnsi="Times New Roman;serif"/>
          <w:b/>
          <w:color w:val="000000"/>
          <w:sz w:val="24"/>
          <w:u w:val="single"/>
        </w:rPr>
        <w:t>Investment Company Act</w:t>
      </w:r>
      <w:r>
        <w:rPr>
          <w:color w:val="000000"/>
        </w:rPr>
        <w:t>”</w:t>
      </w:r>
      <w:r>
        <w:rPr>
          <w:rFonts w:ascii="Times New Roman;serif" w:hAnsi="Times New Roman;serif"/>
          <w:b w:val="false"/>
          <w:color w:val="000000"/>
          <w:sz w:val="24"/>
        </w:rPr>
        <w:t xml:space="preserve">). The Company is not, and after receipt of payment for the Common Stock will not be, an “investment company” within the meaning of Investment Company Act. </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3"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(u)</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Except as otherwise described in the Prospectus, each of the Company and its subsidiaries are insured by insurers of recognized financial responsibility with policies in such amounts and with such deductibles and covering such risks as the Company or such subsidiary reasonably believe to be prudent and customary for the business for which it is engaged including, but not limited to, policies covering real and personal property owned or leased by the Company and its subsidiaries against theft, damage, destruction, and acts of vandalism.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 </w:t>
      </w:r>
    </w:p>
    <w:p>
      <w:pPr>
        <w:pStyle w:val="TextBody"/>
        <w:bidi w:val="0"/>
        <w:spacing w:lineRule="auto" w:line="288" w:before="0" w:after="240"/>
        <w:ind w:left="0" w:right="0" w:firstLine="72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No Price Stabilization or Manipulation</w:t>
      </w:r>
      <w:r>
        <w:rPr>
          <w:rFonts w:ascii="Times New Roman;serif" w:hAnsi="Times New Roman;serif"/>
          <w:b w:val="false"/>
          <w:color w:val="000000"/>
          <w:sz w:val="24"/>
        </w:rPr>
        <w:t xml:space="preserve">. The Company has not taken and will not take, directly or indirectly, any action designed to or that might be reasonably expected to cause or result in stabilization or manipulation of the price of any security of the Company to facilitate the sale or resale of the Placement Shares.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(w)</w:t>
      </w:r>
      <w:r>
        <w:rPr>
          <w:rFonts w:ascii="Times New Roman;serif" w:hAnsi="Times New Roman;serif"/>
          <w:b w:val="false"/>
          <w:color w:val="000000"/>
          <w:sz w:val="24"/>
          <w:u w:val="single"/>
        </w:rPr>
        <w:t>Related Party Transactions</w:t>
      </w:r>
      <w:r>
        <w:rPr>
          <w:rFonts w:ascii="Times New Roman;serif" w:hAnsi="Times New Roman;serif"/>
          <w:b w:val="false"/>
          <w:color w:val="000000"/>
          <w:sz w:val="24"/>
        </w:rPr>
        <w:t>. There are no business relationships or related-party transactions involving the Company or any subsidiary of the Company or any other person required to be described in the Prospectus which have not been described as required.</w:t>
      </w:r>
    </w:p>
    <w:p>
      <w:pPr>
        <w:pStyle w:val="TextBody"/>
        <w:bidi w:val="0"/>
        <w:spacing w:lineRule="auto" w:line="288" w:before="0" w:after="240"/>
        <w:ind w:left="0" w:right="0" w:firstLine="720"/>
        <w:jc w:val="both"/>
        <w:rPr/>
      </w:pPr>
      <w:r>
        <w:rPr>
          <w:rFonts w:ascii="Times New Roman;serif" w:hAnsi="Times New Roman;serif"/>
          <w:b w:val="false"/>
          <w:color w:val="000000"/>
          <w:sz w:val="24"/>
        </w:rPr>
        <w:t>(x)</w:t>
      </w:r>
      <w:r>
        <w:rPr>
          <w:rFonts w:ascii="Times New Roman;serif" w:hAnsi="Times New Roman;serif"/>
          <w:b w:val="false"/>
          <w:color w:val="000000"/>
          <w:sz w:val="24"/>
          <w:u w:val="single"/>
        </w:rPr>
        <w:t>FINRA Matters.</w:t>
      </w:r>
      <w:r>
        <w:rPr>
          <w:color w:val="000000"/>
        </w:rPr>
        <w:t xml:space="preserve"> </w:t>
      </w:r>
      <w:r>
        <w:rPr>
          <w:rFonts w:ascii="Times New Roman;serif" w:hAnsi="Times New Roman;serif"/>
          <w:b w:val="false"/>
          <w:color w:val="000000"/>
          <w:sz w:val="24"/>
        </w:rPr>
        <w:t>All of the information provided to TD Cowen or to counsel for TD Cowen by the Company, its counsel, its officers and directors and the holders of any securities (debt or equity) or options to acquire any securities of the Company in connection with the offering of the Placement Shares is, to the Company’s knowledge, true, complete, correct and compliant with FINRA rules and any letters, filings or other supplemental information provided to FINRA pursuant to FINRA Rules or NASD Conduct Rules is true, complete and correct. As of the date of this Agreement, the Company meets the definition of the term “experienced issuer” specified in FINRA Rule 5110(j)(6) for the purposes of FINRA Rule 5110(h)(1)(C).</w:t>
      </w:r>
    </w:p>
    <w:p>
      <w:pPr>
        <w:pStyle w:val="TextBody"/>
        <w:bidi w:val="0"/>
        <w:spacing w:lineRule="auto" w:line="288" w:before="0" w:after="240"/>
        <w:ind w:left="0" w:right="0" w:firstLine="720"/>
        <w:jc w:val="both"/>
        <w:rPr/>
      </w:pPr>
      <w:r>
        <w:rPr>
          <w:rFonts w:ascii="Times New Roman;serif" w:hAnsi="Times New Roman;serif"/>
          <w:b w:val="false"/>
          <w:color w:val="000000"/>
          <w:sz w:val="24"/>
        </w:rPr>
        <w:t>(y)</w:t>
      </w:r>
      <w:r>
        <w:rPr>
          <w:rFonts w:ascii="Times New Roman;serif" w:hAnsi="Times New Roman;serif"/>
          <w:b w:val="false"/>
          <w:color w:val="000000"/>
          <w:sz w:val="24"/>
          <w:u w:val="single"/>
        </w:rPr>
        <w:t>Exchange Act Compliance</w:t>
      </w:r>
      <w:r>
        <w:rPr>
          <w:rFonts w:ascii="Times New Roman;serif" w:hAnsi="Times New Roman;serif"/>
          <w:b w:val="false"/>
          <w:color w:val="000000"/>
          <w:sz w:val="24"/>
        </w:rPr>
        <w:t xml:space="preserve">.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statements therein, in the light of the circumstances under which they were made, not misleading. </w:t>
      </w:r>
    </w:p>
    <w:p>
      <w:pPr>
        <w:pStyle w:val="TextBody"/>
        <w:bidi w:val="0"/>
        <w:spacing w:lineRule="auto" w:line="288" w:before="0" w:after="240"/>
        <w:ind w:left="0" w:right="0" w:firstLine="720"/>
        <w:jc w:val="both"/>
        <w:rPr/>
      </w:pPr>
      <w:r>
        <w:rPr>
          <w:rFonts w:ascii="Times New Roman;serif" w:hAnsi="Times New Roman;serif"/>
          <w:b w:val="false"/>
          <w:color w:val="000000"/>
          <w:sz w:val="24"/>
        </w:rPr>
        <w:t>(z)</w:t>
      </w:r>
      <w:r>
        <w:rPr>
          <w:rFonts w:ascii="Times New Roman;serif" w:hAnsi="Times New Roman;serif"/>
          <w:b w:val="false"/>
          <w:color w:val="000000"/>
          <w:sz w:val="24"/>
          <w:u w:val="single"/>
        </w:rPr>
        <w:t>No Unlawful Contributions or Other Payments</w:t>
      </w:r>
      <w:r>
        <w:rPr>
          <w:rFonts w:ascii="Times New Roman;serif" w:hAnsi="Times New Roman;serif"/>
          <w:b w:val="false"/>
          <w:color w:val="000000"/>
          <w:sz w:val="24"/>
        </w:rPr>
        <w:t xml:space="preserve">. (i) None of the Company or any of its subsidiaries, or any director, officer, or employee thereof, or, to the Company’s knowledge, any affiliate, agent or representative of the Company or of any of its subsidiaries, while acting on behalf of the Company or any of its subsidiaries, has taken or will take, and will not permit any affiliate, agent or representative, while acting on behalf of the Company or any of its subsidiaries, to take, any action in furtherance of an offer, payment, promise to pay, or authorization or approval of the payment, giving or receipt of money, property, gifts or anything else of value, directly or indirectly, (1) to any government official (including any officer or employee of a government or government-owned or controlled entity or of a public international </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4"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organization, or any person acting in an official capacity for or on behalf of any of the foregoing, or any political party or party official or candidate for political office) in order to influence official action, or (2) to any other person, in the case of each of (1) and (2) in violation of any applicable anti-corruption laws; (ii) the Company and each of its subsidiaries and, to the Company’s knowledge, its affiliates have conducted their businesses in compliance with applicable anti-corruption laws, including the U.S. Foreign Corrupt Practices Act of 1977,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 </w:t>
      </w:r>
    </w:p>
    <w:p>
      <w:pPr>
        <w:pStyle w:val="TextBody"/>
        <w:bidi w:val="0"/>
        <w:spacing w:lineRule="auto" w:line="288" w:before="0" w:after="240"/>
        <w:ind w:left="0" w:right="0" w:firstLine="720"/>
        <w:jc w:val="both"/>
        <w:rPr/>
      </w:pPr>
      <w:r>
        <w:rPr>
          <w:rFonts w:ascii="Times New Roman;serif" w:hAnsi="Times New Roman;serif"/>
          <w:b w:val="false"/>
          <w:color w:val="000000"/>
          <w:sz w:val="24"/>
        </w:rPr>
        <w:t>(aa)</w:t>
      </w:r>
      <w:r>
        <w:rPr>
          <w:rFonts w:ascii="Times New Roman;serif" w:hAnsi="Times New Roman;serif"/>
          <w:b w:val="false"/>
          <w:color w:val="000000"/>
          <w:sz w:val="24"/>
          <w:u w:val="single"/>
        </w:rPr>
        <w:t>Compliance with Money Laundering Laws</w:t>
      </w:r>
      <w:r>
        <w:rPr>
          <w:rFonts w:ascii="Times New Roman;serif" w:hAnsi="Times New Roman;serif"/>
          <w:b w:val="false"/>
          <w:color w:val="000000"/>
          <w:sz w:val="24"/>
        </w:rPr>
        <w:t>. The operations of the Company and its subsidiaries are and have been conducted at all times in material compliance with all applicable financial recordkeeping and reporting requirements, which may include those of the U.S. Bank Secrecy Act, as amended by Title III of the Uniting and Strengthening America by Providing Appropriate Tools Required to Intercept and Obstruct Terrorism Act of 2001 (USA PATRIOT Act), the criminal money laundering laws at 18 U.S.C. §§ 1956, 1957,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serif" w:hAnsi="Times New Roman;serif"/>
          <w:b/>
          <w:color w:val="000000"/>
          <w:sz w:val="24"/>
          <w:u w:val="single"/>
        </w:rPr>
        <w:t>Anti-Money Laundering Laws</w:t>
      </w:r>
      <w:r>
        <w:rPr>
          <w:color w:val="000000"/>
        </w:rPr>
        <w:t>”</w:t>
      </w:r>
      <w:r>
        <w:rPr>
          <w:rFonts w:ascii="Times New Roman;serif" w:hAnsi="Times New Roman;serif"/>
          <w:b w:val="false"/>
          <w:color w:val="000000"/>
          <w:sz w:val="24"/>
        </w:rPr>
        <w:t xml:space="preserve">). No action, suit or proceeding by or before any court or governmental agency, authority, body or any arbitrator involving the Company or any of its subsidiaries with respect to Anti-Money Laundering Laws is pending, or to the knowledge of the Company, threatened.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(ab)</w:t>
      </w:r>
      <w:r>
        <w:rPr>
          <w:rFonts w:ascii="Times New Roman;serif" w:hAnsi="Times New Roman;serif"/>
          <w:b w:val="false"/>
          <w:color w:val="000000"/>
          <w:sz w:val="24"/>
          <w:u w:val="single"/>
        </w:rPr>
        <w:t>Compliance with OFAC</w:t>
      </w:r>
      <w:r>
        <w:rPr>
          <w:rFonts w:ascii="Times New Roman;serif" w:hAnsi="Times New Roman;serif"/>
          <w:b w:val="false"/>
          <w:color w:val="000000"/>
          <w:sz w:val="24"/>
        </w:rPr>
        <w:t xml:space="preserve">. </w:t>
      </w:r>
    </w:p>
    <w:p>
      <w:pPr>
        <w:pStyle w:val="TextBody"/>
        <w:bidi w:val="0"/>
        <w:spacing w:lineRule="auto" w:line="288" w:before="0" w:after="240"/>
        <w:ind w:left="0" w:right="0" w:hanging="360"/>
        <w:jc w:val="both"/>
        <w:rPr/>
      </w:pPr>
      <w:r>
        <w:rPr>
          <w:rFonts w:ascii="Times New Roman;serif" w:hAnsi="Times New Roman;serif"/>
          <w:b w:val="false"/>
          <w:color w:val="000000"/>
          <w:sz w:val="24"/>
        </w:rPr>
        <w:t>(A)    Neither the Company nor any of its subsidiaries, nor any director, officer or employee thereof, nor to the Company’s knowledge, any agent, affiliate, representative or other person acting on behalf of, the Company or any of its subsidiaries, is an individual or entity (“</w:t>
      </w:r>
      <w:r>
        <w:rPr>
          <w:rFonts w:ascii="Times New Roman;serif" w:hAnsi="Times New Roman;serif"/>
          <w:b/>
          <w:color w:val="000000"/>
          <w:sz w:val="24"/>
          <w:u w:val="single"/>
        </w:rPr>
        <w:t>Person</w:t>
      </w:r>
      <w:r>
        <w:rPr>
          <w:color w:val="000000"/>
        </w:rPr>
        <w:t>”</w:t>
      </w:r>
      <w:r>
        <w:rPr>
          <w:rFonts w:ascii="Times New Roman;serif" w:hAnsi="Times New Roman;serif"/>
          <w:b w:val="false"/>
          <w:color w:val="000000"/>
          <w:sz w:val="24"/>
        </w:rPr>
        <w:t>) that is, or is 50% or more owned or otherwise controlled by one or more Persons that are: (i) the subject of any applicable sanctions administered or enforced by the U.S. Department of the Treasury’s Office of Foreign Assets Control (“</w:t>
      </w:r>
      <w:r>
        <w:rPr>
          <w:rFonts w:ascii="Times New Roman;serif" w:hAnsi="Times New Roman;serif"/>
          <w:b/>
          <w:color w:val="000000"/>
          <w:sz w:val="24"/>
          <w:u w:val="single"/>
        </w:rPr>
        <w:t>OFAC</w:t>
      </w:r>
      <w:r>
        <w:rPr>
          <w:color w:val="000000"/>
        </w:rPr>
        <w:t>”</w:t>
      </w:r>
      <w:r>
        <w:rPr>
          <w:rFonts w:ascii="Times New Roman;serif" w:hAnsi="Times New Roman;serif"/>
          <w:b w:val="false"/>
          <w:color w:val="000000"/>
          <w:sz w:val="24"/>
        </w:rPr>
        <w:t>), the United Nations Security Council, the European Union (“</w:t>
      </w:r>
      <w:r>
        <w:rPr>
          <w:rFonts w:ascii="Times New Roman;serif" w:hAnsi="Times New Roman;serif"/>
          <w:b/>
          <w:color w:val="000000"/>
          <w:sz w:val="24"/>
          <w:u w:val="single"/>
        </w:rPr>
        <w:t>EU</w:t>
      </w:r>
      <w:r>
        <w:rPr>
          <w:color w:val="000000"/>
        </w:rPr>
        <w:t>”</w:t>
      </w:r>
      <w:r>
        <w:rPr>
          <w:rFonts w:ascii="Times New Roman;serif" w:hAnsi="Times New Roman;serif"/>
          <w:b w:val="false"/>
          <w:color w:val="000000"/>
          <w:sz w:val="24"/>
        </w:rPr>
        <w:t>), His Majesty’s Treasury, the Swiss Secretariat of Economic Affairs, or other relevant sanctions authority (collectively, “</w:t>
      </w:r>
      <w:r>
        <w:rPr>
          <w:rFonts w:ascii="Times New Roman;serif" w:hAnsi="Times New Roman;serif"/>
          <w:b/>
          <w:color w:val="000000"/>
          <w:sz w:val="24"/>
          <w:u w:val="single"/>
        </w:rPr>
        <w:t>Sanctions</w:t>
      </w:r>
      <w:r>
        <w:rPr>
          <w:color w:val="000000"/>
        </w:rPr>
        <w:t>”</w:t>
      </w:r>
      <w:r>
        <w:rPr>
          <w:rFonts w:ascii="Times New Roman;serif" w:hAnsi="Times New Roman;serif"/>
          <w:b w:val="false"/>
          <w:color w:val="000000"/>
          <w:sz w:val="24"/>
        </w:rPr>
        <w:t>), nor (ii) located, organized, or resident in a country or territory that is the subject of Sanctions (including, without limitation, the so-called Donetsk People’s Republic, the so-called Luhansk People’s Republic, the Crimea Region and the non-government controlled areas of the Zaporizhzhia and Kherson Regions of Ukraine, Cuba, Iran, and North Korea) (“</w:t>
      </w:r>
      <w:r>
        <w:rPr>
          <w:rFonts w:ascii="Times New Roman;serif" w:hAnsi="Times New Roman;serif"/>
          <w:b/>
          <w:color w:val="000000"/>
          <w:sz w:val="24"/>
          <w:u w:val="single"/>
        </w:rPr>
        <w:t>Sanctioned Countries</w:t>
      </w:r>
      <w:r>
        <w:rPr>
          <w:color w:val="000000"/>
        </w:rPr>
        <w:t>”</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5"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    The Company will not, directly or indirectly, use the proceeds of the offering, or lend, contribute or otherwise make available such proceeds to any of its subsidiaries, joint venture partners or other Person: (i) to fund or facilitate any activities or business of or with any Person, or in any country or territory that, at the time of such funding or facilitation, is the subject of Sanctions or is located, organized or resident in a Sanctioned Country; or (ii) in any other manner that will result in a violation of Sanctions by any Person (including any Person participating in the offering, whether as underwriter, advisor, investor or otherwise).</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    Since April 24, 2019, the Company and its subsidiaries have not knowingly engaged in, are not now knowingly engaged in, and will not engage in, any dealings or transactions with any Person, or in any country or territory, that at the time of the dealing or transaction is or was the subject of Sanctions or is located, organized or resident in a Sanctioned Country.</w:t>
      </w:r>
    </w:p>
    <w:p>
      <w:pPr>
        <w:pStyle w:val="TextBody"/>
        <w:bidi w:val="0"/>
        <w:spacing w:lineRule="auto" w:line="288" w:before="0" w:after="240"/>
        <w:ind w:left="0" w:right="0" w:firstLine="720"/>
        <w:jc w:val="both"/>
        <w:rPr/>
      </w:pPr>
      <w:r>
        <w:rPr>
          <w:rFonts w:ascii="Times New Roman;serif" w:hAnsi="Times New Roman;serif"/>
          <w:b w:val="false"/>
          <w:color w:val="000000"/>
          <w:sz w:val="24"/>
        </w:rPr>
        <w:t>(bb)</w:t>
      </w:r>
      <w:r>
        <w:rPr>
          <w:rFonts w:ascii="Times New Roman;serif" w:hAnsi="Times New Roman;serif"/>
          <w:b w:val="false"/>
          <w:color w:val="000000"/>
          <w:sz w:val="24"/>
          <w:u w:val="single"/>
        </w:rPr>
        <w:t>Company’s Accounting System</w:t>
      </w:r>
      <w:r>
        <w:rPr>
          <w:rFonts w:ascii="Times New Roman;serif" w:hAnsi="Times New Roman;serif"/>
          <w:b w:val="false"/>
          <w:color w:val="000000"/>
          <w:sz w:val="24"/>
        </w:rPr>
        <w:t>. The Company maintains a system of “internal control over financial reporting” (as such term is defined in Rule 13a-15(f) of the General Rules and Regulations under the Exchange Act (the “</w:t>
      </w:r>
      <w:r>
        <w:rPr>
          <w:rFonts w:ascii="Times New Roman;serif" w:hAnsi="Times New Roman;serif"/>
          <w:b/>
          <w:color w:val="000000"/>
          <w:sz w:val="24"/>
          <w:u w:val="single"/>
        </w:rPr>
        <w:t>Exchange Act Rules</w:t>
      </w:r>
      <w:r>
        <w:rPr>
          <w:color w:val="000000"/>
        </w:rPr>
        <w:t>”</w:t>
      </w:r>
      <w:r>
        <w:rPr>
          <w:rFonts w:ascii="Times New Roman;serif" w:hAnsi="Times New Roman;serif"/>
          <w:b w:val="false"/>
          <w:color w:val="000000"/>
          <w:sz w:val="24"/>
        </w:rPr>
        <w:t xml:space="preserve">)) that complies with the requirements of the Exchange Act and has been designed by their respective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U.S.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described in the Prospectus, the Company’s internal control over financial reporting is effective. Except as described in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lineRule="auto" w:line="288" w:before="0" w:after="240"/>
        <w:ind w:left="0" w:right="0" w:firstLine="720"/>
        <w:jc w:val="both"/>
        <w:rPr/>
      </w:pPr>
      <w:r>
        <w:rPr>
          <w:rFonts w:ascii="Times New Roman;serif" w:hAnsi="Times New Roman;serif"/>
          <w:b w:val="false"/>
          <w:color w:val="000000"/>
          <w:sz w:val="24"/>
        </w:rPr>
        <w:t>(cc)</w:t>
      </w:r>
      <w:r>
        <w:rPr>
          <w:rFonts w:ascii="Times New Roman;serif" w:hAnsi="Times New Roman;serif"/>
          <w:b w:val="false"/>
          <w:color w:val="000000"/>
          <w:sz w:val="24"/>
          <w:u w:val="single"/>
        </w:rPr>
        <w:t>Disclosure Controls</w:t>
      </w:r>
      <w:r>
        <w:rPr>
          <w:rFonts w:ascii="Times New Roman;serif" w:hAnsi="Times New Roman;serif"/>
          <w:b w:val="false"/>
          <w:color w:val="000000"/>
          <w:sz w:val="24"/>
        </w:rPr>
        <w:t xml:space="preserve">. The Company maintains disclosure controls and procedures (as such is defined in Rule 13a-15(e) of the Exchange Act Rules) that comply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 The Company has conducted evaluations of the effectiveness of its disclosure controls as required by Rule 13a-15 of the Exchange Act. </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6"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(dd)</w:t>
      </w:r>
      <w:r>
        <w:rPr>
          <w:rFonts w:ascii="Times New Roman;serif" w:hAnsi="Times New Roman;serif"/>
          <w:b w:val="false"/>
          <w:color w:val="000000"/>
          <w:sz w:val="24"/>
          <w:u w:val="single"/>
        </w:rPr>
        <w:t>Compliance with Environmental Laws</w:t>
      </w:r>
      <w:r>
        <w:rPr>
          <w:rFonts w:ascii="Times New Roman;serif" w:hAnsi="Times New Roman;serif"/>
          <w:b w:val="false"/>
          <w:color w:val="000000"/>
          <w:sz w:val="24"/>
        </w:rPr>
        <w:t>. Except as otherwise described in the Prospectus, and except as would not, individually or in the aggregate, result in a Material Adverse Change (i) neither the Company nor any of its subsidiaries are, and at all times since January 1, 2019 were not,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serif" w:hAnsi="Times New Roman;serif"/>
          <w:b/>
          <w:color w:val="000000"/>
          <w:sz w:val="24"/>
          <w:u w:val="single"/>
        </w:rPr>
        <w:t>Materials of Environmental Concern</w:t>
      </w:r>
      <w:r>
        <w:rPr>
          <w:color w:val="000000"/>
        </w:rPr>
        <w:t>”</w:t>
      </w:r>
      <w:r>
        <w:rPr>
          <w:rFonts w:ascii="Times New Roman;serif" w:hAnsi="Times New Roman;serif"/>
          <w:b w:val="false"/>
          <w:color w:val="000000"/>
          <w:sz w:val="24"/>
        </w:rPr>
        <w:t>), or otherwise relating to the manufacture, processing, distribution, use, treatment, storage, disposal, transport or handling of Materials of Environmental Concern (collectively, “</w:t>
      </w:r>
      <w:r>
        <w:rPr>
          <w:rFonts w:ascii="Times New Roman;serif" w:hAnsi="Times New Roman;serif"/>
          <w:b/>
          <w:color w:val="000000"/>
          <w:sz w:val="24"/>
          <w:u w:val="single"/>
        </w:rPr>
        <w:t>Environmental Laws</w:t>
      </w:r>
      <w:r>
        <w:rPr>
          <w:color w:val="000000"/>
        </w:rPr>
        <w:t>”</w:t>
      </w:r>
      <w:r>
        <w:rPr>
          <w:rFonts w:ascii="Times New Roman;serif" w:hAnsi="Times New Roman;serif"/>
          <w:b w:val="false"/>
          <w:color w:val="000000"/>
          <w:sz w:val="24"/>
        </w:rPr>
        <w:t>), which violation includes, but is not limited to, noncompliance with any permits or other governmental authorizations required for the operation of the business of the Company or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r>
        <w:rPr>
          <w:rFonts w:ascii="Times New Roman;serif" w:hAnsi="Times New Roman;serif"/>
          <w:b/>
          <w:color w:val="000000"/>
          <w:sz w:val="24"/>
          <w:u w:val="single"/>
        </w:rPr>
        <w:t>Environmental Claims</w:t>
      </w:r>
      <w:r>
        <w:rPr>
          <w:color w:val="000000"/>
        </w:rPr>
        <w:t>”</w:t>
      </w:r>
      <w:r>
        <w:rPr>
          <w:rFonts w:ascii="Times New Roman;serif" w:hAnsi="Times New Roman;serif"/>
          <w:b w:val="false"/>
          <w:color w:val="000000"/>
          <w:sz w:val="24"/>
        </w:rPr>
        <w:t>), pending or, to the Company’s knowledge, threatened against the Company or any of its subsidiaries or any person or entity whose liability for any Environmental Claim the Company or any of its subsidiaries has retained or assumed either contractually or by operation of law which it is reasonably believed would impose monetary sanctions of $100,000 or more; and (iii) to the best of the Company’s knowledge, there are no present actions, and at all times since January 1, 2019 there have not been any, activities, circumstances, conditions, events or incidents, including, without limitation, the release, emission, discharge, presence or disposal of any Material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 except in the case of clause (i) or (ii) where such noncompliance, violation, liability or other obligation would not, individually or in the aggregate, reasonably be expected to have a Material Adverse Change.</w:t>
      </w:r>
    </w:p>
    <w:p>
      <w:pPr>
        <w:pStyle w:val="TextBody"/>
        <w:bidi w:val="0"/>
        <w:spacing w:lineRule="auto" w:line="288" w:before="0" w:after="240"/>
        <w:ind w:left="0" w:right="0" w:firstLine="720"/>
        <w:jc w:val="both"/>
        <w:rPr/>
      </w:pPr>
      <w:r>
        <w:rPr>
          <w:rFonts w:ascii="Times New Roman;serif" w:hAnsi="Times New Roman;serif"/>
          <w:b w:val="false"/>
          <w:color w:val="000000"/>
          <w:sz w:val="24"/>
        </w:rPr>
        <w:t>(ee)</w:t>
      </w:r>
      <w:r>
        <w:rPr>
          <w:rFonts w:ascii="Times New Roman;serif" w:hAnsi="Times New Roman;serif"/>
          <w:b w:val="false"/>
          <w:color w:val="000000"/>
          <w:sz w:val="24"/>
          <w:u w:val="single"/>
        </w:rPr>
        <w:t>Intellectual Property</w:t>
      </w:r>
      <w:r>
        <w:rPr>
          <w:rFonts w:ascii="Times New Roman;serif" w:hAnsi="Times New Roman;serif"/>
          <w:b w:val="false"/>
          <w:color w:val="000000"/>
          <w:sz w:val="24"/>
        </w:rPr>
        <w:t>. Except as otherwise disclosed in the Registration Statement or the Prospectus, the Company and its subsidiaries own or possess the valid rights of use under all (i) material patents, patent applications, trademarks, trademark registrations, service marks, service mark registrations, Internet domain name registrations, copyrights, copyright registrations, licenses and trade secret rights (“</w:t>
      </w:r>
      <w:r>
        <w:rPr>
          <w:rFonts w:ascii="Times New Roman;serif" w:hAnsi="Times New Roman;serif"/>
          <w:b/>
          <w:color w:val="000000"/>
          <w:sz w:val="24"/>
          <w:u w:val="single"/>
        </w:rPr>
        <w:t>Intellectual Property Rights</w:t>
      </w:r>
      <w:r>
        <w:rPr>
          <w:color w:val="000000"/>
        </w:rPr>
        <w:t>”</w:t>
      </w:r>
      <w:r>
        <w:rPr>
          <w:rFonts w:ascii="Times New Roman;serif" w:hAnsi="Times New Roman;serif"/>
          <w:b w:val="false"/>
          <w:color w:val="000000"/>
          <w:sz w:val="24"/>
        </w:rPr>
        <w:t xml:space="preserve">) and (ii) material inventions, software, works of authorships, trademarks, service marks, trade names, databases, </w:t>
      </w: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7"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formulae, know how, Internet domain names and other intellectual property (including trade secrets and other unpatented and/or unpatentable proprietary confidential information, systems, or procedures) (collectively, “</w:t>
      </w:r>
      <w:r>
        <w:rPr>
          <w:rFonts w:ascii="Times New Roman;serif" w:hAnsi="Times New Roman;serif"/>
          <w:b/>
          <w:color w:val="000000"/>
          <w:sz w:val="24"/>
          <w:u w:val="single"/>
        </w:rPr>
        <w:t>Intellectual Property Assets</w:t>
      </w:r>
      <w:r>
        <w:rPr>
          <w:color w:val="000000"/>
        </w:rPr>
        <w:t>”</w:t>
      </w:r>
      <w:r>
        <w:rPr>
          <w:rFonts w:ascii="Times New Roman;serif" w:hAnsi="Times New Roman;serif"/>
          <w:b w:val="false"/>
          <w:color w:val="000000"/>
          <w:sz w:val="24"/>
        </w:rPr>
        <w:t>) necessary to conduct their respective businesses as currently conducted, and as proposed to be conducted and described in the Prospectus. The Company and its subsidiaries have not received any opinion from their legal counsel concluding that any activities of their respective businesses infringe, misappropriate, or otherwise violate, valid and enforceable Intellectual Property Rights of any other person, and except as described in the Prospectus, have not received written notice of any challenge, which is to their knowledge still pending, by any other person to the rights of the Company and its subsidiaries with respect to any Intellectual Property Rights or Intellectual Property Assets owned or used by the Company or its subsidiaries to conduct their respective businesses as currently conducted, and as proposed to be conducted and described in the Prospectus. To the knowledge of the Company, the Company and its subsidiaries’ respective businesses as now conducted do not infringe, misappropriate, or otherwise violate, any valid and enforceable Intellectual Property Rights of any other person. Each license agreement described in the Prospectus under which the Company or its subsidiaries licenses Intellectual Property Rights used by the Company or its subsidiaries to conduct their respective businesses (each, an “</w:t>
      </w:r>
      <w:r>
        <w:rPr>
          <w:rFonts w:ascii="Times New Roman;serif" w:hAnsi="Times New Roman;serif"/>
          <w:b/>
          <w:color w:val="000000"/>
          <w:sz w:val="24"/>
        </w:rPr>
        <w:t>Intellectual Property License</w:t>
      </w:r>
      <w:r>
        <w:rPr>
          <w:color w:val="000000"/>
        </w:rPr>
        <w:t>”</w:t>
      </w:r>
      <w:r>
        <w:rPr>
          <w:rFonts w:ascii="Times New Roman;serif" w:hAnsi="Times New Roman;serif"/>
          <w:b w:val="false"/>
          <w:color w:val="000000"/>
          <w:sz w:val="24"/>
        </w:rPr>
        <w:t>) are, to the knowledge of the Company, valid, binding upon, and enforceable by or against the parties thereto in accordance to its terms. The Company has complied in all material respects with, and is not in breach nor has received any asserted or threatened claim of breach of any Intellectual Property License, and the Company has no knowledge of any breach or anticipated breach by any other person to any Intellectual Property License. Except as described in the Prospectus, no claim has been made against the Company alleging the infringement by the Company of any patent, trademark, service mark, trade name, copyright, trade secret, license in or other intellectual property right or franchise right of any person.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(ff)</w:t>
      </w:r>
      <w:r>
        <w:rPr>
          <w:rFonts w:ascii="Times New Roman;serif" w:hAnsi="Times New Roman;serif"/>
          <w:b w:val="false"/>
          <w:color w:val="000000"/>
          <w:sz w:val="24"/>
          <w:u w:val="single"/>
        </w:rPr>
        <w:t>Listing</w:t>
      </w:r>
      <w:r>
        <w:rPr>
          <w:rFonts w:ascii="Times New Roman;serif" w:hAnsi="Times New Roman;serif"/>
          <w:b w:val="false"/>
          <w:color w:val="000000"/>
          <w:sz w:val="24"/>
        </w:rPr>
        <w:t xml:space="preserve">.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Nasdaq, nor, except as otherwise disclosed in the Registration Statement or the Prospectus, has the Company received any notification that the Commission or Nasdaq is contemplating terminating such registration or listing. All of the Placement Shares that have been or may be sold under this Agreement have been approved for listing on the Nasdaq, subject to official notice of issuance; the Company has taken all necessary actions to ensure that, upon and at all times after the Nasdaq shall have approved the Placement Shares for </w:t>
      </w: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8"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listing, it will be in compliance with all applicable corporate governance requirements set forth in the Nasdaq’s listing rules that are then in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(gg)</w:t>
      </w:r>
      <w:r>
        <w:rPr>
          <w:rFonts w:ascii="Times New Roman;serif" w:hAnsi="Times New Roman;serif"/>
          <w:b w:val="false"/>
          <w:color w:val="000000"/>
          <w:sz w:val="24"/>
          <w:u w:val="single"/>
        </w:rPr>
        <w:t>Brokers</w:t>
      </w:r>
      <w:r>
        <w:rPr>
          <w:rFonts w:ascii="Times New Roman;serif" w:hAnsi="Times New Roman;serif"/>
          <w:b w:val="false"/>
          <w:color w:val="000000"/>
          <w:sz w:val="24"/>
        </w:rPr>
        <w:t xml:space="preserve">. Except for TD Cowen, there is no broker, finder or other party that is entitled to receive from the Company any brokerage or finder’s fee or other fee or commission as a result of any transactions contemplated by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(hh)</w:t>
      </w:r>
      <w:r>
        <w:rPr>
          <w:rFonts w:ascii="Times New Roman;serif" w:hAnsi="Times New Roman;serif"/>
          <w:b w:val="false"/>
          <w:color w:val="000000"/>
          <w:sz w:val="24"/>
          <w:u w:val="single"/>
        </w:rPr>
        <w:t>No Outstanding Loans or Other Indebtedness</w:t>
      </w:r>
      <w:r>
        <w:rPr>
          <w:rFonts w:ascii="Times New Roman;serif" w:hAnsi="Times New Roman;serif"/>
          <w:b w:val="false"/>
          <w:color w:val="000000"/>
          <w:sz w:val="24"/>
        </w:rPr>
        <w:t>. Except as described in the Prospectus, there are no outstanding loans, advances (except normal advances for business expenses in the ordinary course of business) or guarantees (except for letters of credit in the ordinary course of business) or indebtedness by the Company to or for the benefit of any of the officers or directors of the Company or any of the members of any of them.</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No Reliance</w:t>
      </w:r>
      <w:r>
        <w:rPr>
          <w:rFonts w:ascii="Times New Roman;serif" w:hAnsi="Times New Roman;serif"/>
          <w:b w:val="false"/>
          <w:color w:val="000000"/>
          <w:sz w:val="24"/>
        </w:rPr>
        <w:t xml:space="preserve">. The Company has not relied upon TD Cowen or legal counsel for TD Cowen for any legal, tax or accounting advice in connection with the offering and sale of the Placement Shares.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(jj) </w:t>
      </w:r>
      <w:r>
        <w:rPr>
          <w:rFonts w:ascii="Times New Roman;serif" w:hAnsi="Times New Roman;serif"/>
          <w:b w:val="false"/>
          <w:color w:val="000000"/>
          <w:sz w:val="24"/>
          <w:u w:val="single"/>
        </w:rPr>
        <w:t>FINRA Exemption</w:t>
      </w:r>
      <w:r>
        <w:rPr>
          <w:rFonts w:ascii="Times New Roman;serif" w:hAnsi="Times New Roman;serif"/>
          <w:b w:val="false"/>
          <w:color w:val="000000"/>
          <w:sz w:val="24"/>
        </w:rPr>
        <w:t>. The Company meets the definition of the term “experienced issuer” specified in FINRA Rule 5110(j)(6).</w:t>
      </w:r>
    </w:p>
    <w:p>
      <w:pPr>
        <w:pStyle w:val="TextBody"/>
        <w:bidi w:val="0"/>
        <w:spacing w:lineRule="auto" w:line="288" w:before="0" w:after="240"/>
        <w:ind w:left="0" w:right="0" w:firstLine="720"/>
        <w:jc w:val="both"/>
        <w:rPr/>
      </w:pPr>
      <w:r>
        <w:rPr>
          <w:rFonts w:ascii="Times New Roman;serif" w:hAnsi="Times New Roman;serif"/>
          <w:b w:val="false"/>
          <w:color w:val="000000"/>
          <w:sz w:val="24"/>
        </w:rPr>
        <w:t>(kk) </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w:t>
      </w:r>
    </w:p>
    <w:p>
      <w:pPr>
        <w:pStyle w:val="TextBody"/>
        <w:bidi w:val="0"/>
        <w:spacing w:lineRule="auto" w:line="288" w:before="0" w:after="240"/>
        <w:ind w:left="0" w:right="0" w:firstLine="720"/>
        <w:jc w:val="both"/>
        <w:rPr/>
      </w:pPr>
      <w:r>
        <w:rPr>
          <w:rFonts w:ascii="Times New Roman;serif" w:hAnsi="Times New Roman;serif"/>
          <w:b w:val="false"/>
          <w:color w:val="000000"/>
          <w:sz w:val="24"/>
        </w:rPr>
        <w:t>(ll) </w:t>
      </w:r>
      <w:r>
        <w:rPr>
          <w:rFonts w:ascii="Times New Roman;serif" w:hAnsi="Times New Roman;serif"/>
          <w:b w:val="false"/>
          <w:color w:val="000000"/>
          <w:sz w:val="24"/>
          <w:u w:val="single"/>
        </w:rPr>
        <w:t>Privacy Laws</w:t>
      </w:r>
      <w:r>
        <w:rPr>
          <w:rFonts w:ascii="Times New Roman;serif" w:hAnsi="Times New Roman;serif"/>
          <w:b w:val="false"/>
          <w:color w:val="000000"/>
          <w:sz w:val="24"/>
        </w:rPr>
        <w:t>. Except as otherwise described in the Prospectus, and except as would not, individually or in the aggregate, result in a Material Adverse Change, the Company and each of its subsidiaries (i) are, and at all prior times since January 1, 2019 were, in compliance with all applicable data privacy and security laws and regulations, including, without limitation, as applicable, the Health Insurance Portability and Accountability Act (“</w:t>
      </w:r>
      <w:r>
        <w:rPr>
          <w:rFonts w:ascii="Times New Roman;serif" w:hAnsi="Times New Roman;serif"/>
          <w:b/>
          <w:color w:val="000000"/>
          <w:sz w:val="24"/>
          <w:u w:val="single"/>
        </w:rPr>
        <w:t>HIPAA</w:t>
      </w:r>
      <w:r>
        <w:rPr>
          <w:color w:val="000000"/>
        </w:rPr>
        <w:t>”</w:t>
      </w:r>
      <w:r>
        <w:rPr>
          <w:rFonts w:ascii="Times New Roman;serif" w:hAnsi="Times New Roman;serif"/>
          <w:b w:val="false"/>
          <w:color w:val="000000"/>
          <w:sz w:val="24"/>
        </w:rPr>
        <w:t>), as amended by the Health Information Technology for Economic and Clinical Health Act (42 U.S.C. Section 17921 et seq.), and the European Union General Data Protection Regulation (“</w:t>
      </w:r>
      <w:r>
        <w:rPr>
          <w:rFonts w:ascii="Times New Roman;serif" w:hAnsi="Times New Roman;serif"/>
          <w:b/>
          <w:color w:val="000000"/>
          <w:sz w:val="24"/>
          <w:u w:val="single"/>
        </w:rPr>
        <w:t>GDPR</w:t>
      </w:r>
      <w:r>
        <w:rPr>
          <w:color w:val="000000"/>
        </w:rPr>
        <w:t>”</w:t>
      </w:r>
      <w:r>
        <w:rPr>
          <w:rFonts w:ascii="Times New Roman;serif" w:hAnsi="Times New Roman;serif"/>
          <w:b w:val="false"/>
          <w:color w:val="000000"/>
          <w:sz w:val="24"/>
        </w:rPr>
        <w:t>) (EU 2016/679) (collectively, “</w:t>
      </w:r>
      <w:r>
        <w:rPr>
          <w:rFonts w:ascii="Times New Roman;serif" w:hAnsi="Times New Roman;serif"/>
          <w:b/>
          <w:color w:val="000000"/>
          <w:sz w:val="24"/>
          <w:u w:val="single"/>
        </w:rPr>
        <w:t>Privacy Laws</w:t>
      </w:r>
      <w:r>
        <w:rPr>
          <w:color w:val="000000"/>
        </w:rPr>
        <w:t>”</w:t>
      </w:r>
      <w:r>
        <w:rPr>
          <w:rFonts w:ascii="Times New Roman;serif" w:hAnsi="Times New Roman;serif"/>
          <w:b w:val="false"/>
          <w:color w:val="000000"/>
          <w:sz w:val="24"/>
        </w:rPr>
        <w:t>); and (ii) maintain and take appropriate steps reasonably designed to ensure compliance in all material respects by applicable persons, as required by Privacy Laws, with their policies and procedures relating to data privacy and security and the collection, storage, use, disclosure, handling and analysis of Personal Data (the “</w:t>
      </w:r>
      <w:r>
        <w:rPr>
          <w:rFonts w:ascii="Times New Roman;serif" w:hAnsi="Times New Roman;serif"/>
          <w:b/>
          <w:color w:val="000000"/>
          <w:sz w:val="24"/>
          <w:u w:val="single"/>
        </w:rPr>
        <w:t>Policies</w:t>
      </w:r>
      <w:r>
        <w:rPr>
          <w:color w:val="000000"/>
        </w:rPr>
        <w:t>”</w:t>
      </w:r>
      <w:r>
        <w:rPr>
          <w:rFonts w:ascii="Times New Roman;serif" w:hAnsi="Times New Roman;serif"/>
          <w:b w:val="false"/>
          <w:color w:val="000000"/>
          <w:sz w:val="24"/>
        </w:rPr>
        <w:t>). “</w:t>
      </w:r>
      <w:r>
        <w:rPr>
          <w:rFonts w:ascii="Times New Roman;serif" w:hAnsi="Times New Roman;serif"/>
          <w:b/>
          <w:color w:val="000000"/>
          <w:sz w:val="24"/>
          <w:u w:val="single"/>
        </w:rPr>
        <w:t>Personal Data</w:t>
      </w:r>
      <w:r>
        <w:rPr>
          <w:color w:val="000000"/>
        </w:rPr>
        <w:t xml:space="preserve">” </w:t>
      </w:r>
      <w:r>
        <w:rPr>
          <w:rFonts w:ascii="Times New Roman;serif" w:hAnsi="Times New Roman;serif"/>
          <w:b w:val="false"/>
          <w:color w:val="000000"/>
          <w:sz w:val="24"/>
        </w:rPr>
        <w:t xml:space="preserve">means (i) a natural person’s name, street address, telephone number, email address, photograph, social security number, individually identifiable bank information, or customer or account number; (ii) any information which would qualify as “personally identifying information” under the Federal Trade Commission Act, as amended; (iii) Protected Health Information as defined by HIPAA; (iv) “personal data” as defined by GDPR; and (v) any other piece of information that allows the identification of such natural person, or his or her family, or permits the collection or analysis of any data related to an identified person’s health or sexual orientation. Except as otherwise described in the Prospectus, and except as would not, individually or in the aggregate, result in a Material Adverse Change, (i) none of such disclosures made or contained in any of the Policies have been in violation of any Privacy Laws; </w:t>
      </w: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9"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(ii) the execution, delivery and performance of this Agreement will not result in a breach of any Privacy Laws or Policies; and (iii) neither the Company nor any of its subsidiaries (A) has received written notice of any of their actual or potential liability under or relating to, or their actual or potential violation of, any of the Privacy Laws; (B) is currently conducting or paying for, in whole or in part, any investigation, remediation or other corrective action pursuant to any governmental or regulatory demand, judgment, or order under any Privacy Law; or (C) is a party to any order, decree, or agreement by, with, or under the authority of any governmental or regulatory authority that imposed any obligation or liability upon the Company or any of its subsidiaries under any Privacy Law. </w:t>
      </w:r>
    </w:p>
    <w:p>
      <w:pPr>
        <w:pStyle w:val="TextBody"/>
        <w:bidi w:val="0"/>
        <w:spacing w:lineRule="auto" w:line="288" w:before="0" w:after="240"/>
        <w:ind w:left="0" w:right="0" w:firstLine="720"/>
        <w:jc w:val="both"/>
        <w:rPr/>
      </w:pPr>
      <w:r>
        <w:rPr>
          <w:rFonts w:ascii="Times New Roman;serif" w:hAnsi="Times New Roman;serif"/>
          <w:b w:val="false"/>
          <w:color w:val="000000"/>
          <w:sz w:val="24"/>
        </w:rPr>
        <w:t>(mm) </w:t>
      </w:r>
      <w:r>
        <w:rPr>
          <w:rFonts w:ascii="Times New Roman;serif" w:hAnsi="Times New Roman;serif"/>
          <w:b w:val="false"/>
          <w:color w:val="000000"/>
          <w:sz w:val="24"/>
          <w:u w:val="single"/>
        </w:rPr>
        <w:t>IT Systems</w:t>
      </w:r>
      <w:r>
        <w:rPr>
          <w:rFonts w:ascii="Times New Roman;serif" w:hAnsi="Times New Roman;serif"/>
          <w:b w:val="false"/>
          <w:color w:val="000000"/>
          <w:sz w:val="24"/>
        </w:rPr>
        <w:t>. Except as otherwise described in the Prospectus, and except as would not, individually or in the aggregate, result in a Material Adverse Change, since January 1, 2019, (i)(x) there has been no security breach or other compromise of any of the Company’s and its subsidiaries’ information technology and computer systems, networks, hardware, software, Personal Data, or other confidential, regulated, or sensitive data (including any such data of their respective customers, employees, suppliers, vendors and any third party data maintained by or on behalf of them), equipment or technology (“</w:t>
      </w:r>
      <w:r>
        <w:rPr>
          <w:rFonts w:ascii="Times New Roman;serif" w:hAnsi="Times New Roman;serif"/>
          <w:b/>
          <w:color w:val="000000"/>
          <w:sz w:val="24"/>
          <w:u w:val="single"/>
        </w:rPr>
        <w:t>IT Systems and Data</w:t>
      </w:r>
      <w:r>
        <w:rPr>
          <w:color w:val="000000"/>
        </w:rPr>
        <w:t>”</w:t>
      </w:r>
      <w:r>
        <w:rPr>
          <w:rFonts w:ascii="Times New Roman;serif" w:hAnsi="Times New Roman;serif"/>
          <w:b w:val="false"/>
          <w:color w:val="000000"/>
          <w:sz w:val="24"/>
        </w:rPr>
        <w:t>), and (y) the Company and its subsidiaries have not been notified of any security breach or compromise of their IT Systems and Data, (ii) the Company and each of its subsidiaries have complied, and are presently in compliance with, all applicable laws and statutes or any applicable binding judgment, order, rule, or regulation of any court or arbitrator or governmental or regulatory authority, and all of the Company’s and its subsidiaries’ internal policies and contractual obligations relating to the privacy and security of IT Systems and Data and to the protection of such IT Systems and Data from unauthorized use, access, misappropriation or modification, and (iii) the Company and each of its subsidiaries have implemented reasonable and appropriate backup and disaster recovery technology consistent with industry standards and practice.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(nn) </w:t>
      </w:r>
      <w:r>
        <w:rPr>
          <w:rFonts w:ascii="Times New Roman;serif" w:hAnsi="Times New Roman;serif"/>
          <w:b w:val="false"/>
          <w:color w:val="000000"/>
          <w:sz w:val="24"/>
          <w:u w:val="single"/>
        </w:rPr>
        <w:t>Export and Import Laws</w:t>
      </w:r>
      <w:r>
        <w:rPr>
          <w:rFonts w:ascii="Times New Roman;serif" w:hAnsi="Times New Roman;serif"/>
          <w:b w:val="false"/>
          <w:color w:val="000000"/>
          <w:sz w:val="24"/>
        </w:rPr>
        <w:t>. Each of the Company and its subsidiaries, and, to the Company’s knowledge, each of their controlled affiliates and any director, officer, agent or employee of, or other person associated with or acting on behalf of the Company has acted at all times since January 1, 2019 in material compliance with applicable Export and Import Laws (as defined below) and there are no material claims, complaints, charges, investigations or proceedings pending or expected or, to the knowledge of the Company, threatened between the Company or any of its subsidiaries and any Governmental Authority under any Export or Import Laws. The term “</w:t>
      </w:r>
      <w:r>
        <w:rPr>
          <w:rFonts w:ascii="Times New Roman;serif" w:hAnsi="Times New Roman;serif"/>
          <w:b/>
          <w:color w:val="000000"/>
          <w:sz w:val="24"/>
          <w:u w:val="single"/>
        </w:rPr>
        <w:t>Export and Import Laws</w:t>
      </w:r>
      <w:r>
        <w:rPr>
          <w:color w:val="000000"/>
        </w:rPr>
        <w:t xml:space="preserve">” </w:t>
      </w:r>
      <w:r>
        <w:rPr>
          <w:rFonts w:ascii="Times New Roman;serif" w:hAnsi="Times New Roman;serif"/>
          <w:b w:val="false"/>
          <w:color w:val="000000"/>
          <w:sz w:val="24"/>
        </w:rPr>
        <w:t>means, as applicable to the Company,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pStyle w:val="TextBody"/>
        <w:bidi w:val="0"/>
        <w:spacing w:lineRule="auto" w:line="288" w:before="0" w:after="240"/>
        <w:ind w:left="0" w:right="0" w:firstLine="720"/>
        <w:jc w:val="both"/>
        <w:rPr/>
      </w:pPr>
      <w:r>
        <w:rPr>
          <w:rFonts w:ascii="Times New Roman;serif" w:hAnsi="Times New Roman;serif"/>
          <w:b w:val="false"/>
          <w:color w:val="000000"/>
          <w:sz w:val="24"/>
        </w:rPr>
        <w:t>(oo) </w:t>
      </w:r>
      <w:r>
        <w:rPr>
          <w:rFonts w:ascii="Times New Roman;serif" w:hAnsi="Times New Roman;serif"/>
          <w:b w:val="false"/>
          <w:color w:val="000000"/>
          <w:sz w:val="24"/>
          <w:u w:val="single"/>
        </w:rPr>
        <w:t>No Labor Disputes</w:t>
      </w:r>
      <w:r>
        <w:rPr>
          <w:rFonts w:ascii="Times New Roman;serif" w:hAnsi="Times New Roman;serif"/>
          <w:b w:val="false"/>
          <w:color w:val="000000"/>
          <w:sz w:val="24"/>
        </w:rPr>
        <w:t xml:space="preserve">. No material labor dispute with the employees of the Company or any of its subsidiaries exists, or, to the knowledge of the Company, is imminent; and the </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0"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 is not aware of any existing, threatened or imminent labor disturbance by the employees of any of its principal suppliers, manufacturers or contractors that, singly or in the aggregate, would reasonably be expected to have a material adverse effect on the Company and its subsidiaries, taken as a whole.</w:t>
      </w:r>
    </w:p>
    <w:p>
      <w:pPr>
        <w:pStyle w:val="TextBody"/>
        <w:bidi w:val="0"/>
        <w:spacing w:lineRule="auto" w:line="288" w:before="0" w:after="240"/>
        <w:ind w:left="0" w:right="0" w:firstLine="720"/>
        <w:jc w:val="both"/>
        <w:rPr/>
      </w:pPr>
      <w:r>
        <w:rPr>
          <w:rFonts w:ascii="Times New Roman;serif" w:hAnsi="Times New Roman;serif"/>
          <w:b w:val="false"/>
          <w:color w:val="000000"/>
          <w:sz w:val="24"/>
        </w:rPr>
        <w:t>(pp) </w:t>
      </w:r>
      <w:r>
        <w:rPr>
          <w:rFonts w:ascii="Times New Roman;serif" w:hAnsi="Times New Roman;serif"/>
          <w:b w:val="false"/>
          <w:color w:val="000000"/>
          <w:sz w:val="24"/>
          <w:u w:val="single"/>
        </w:rPr>
        <w:t>Regulatory Compliance</w:t>
      </w:r>
      <w:r>
        <w:rPr>
          <w:rFonts w:ascii="Times New Roman;serif" w:hAnsi="Times New Roman;serif"/>
          <w:b w:val="false"/>
          <w:color w:val="000000"/>
          <w:sz w:val="24"/>
        </w:rPr>
        <w:t>. Neither the FDA nor any other governmental entity has provided written or verbal notice to the Company that the Company’s platform or product candidates are in violation of the Federal Food, Drug, and Cosmetic Act (21 U.S.C. § 301 et seq.), the Public Health Service Act (42 U.S.C. § 201 et seq.) or similar federal, state or foreign laws (collectively, the “</w:t>
      </w:r>
      <w:r>
        <w:rPr>
          <w:rFonts w:ascii="Times New Roman;serif" w:hAnsi="Times New Roman;serif"/>
          <w:b/>
          <w:color w:val="000000"/>
          <w:sz w:val="24"/>
          <w:u w:val="single"/>
        </w:rPr>
        <w:t>Public Health Laws</w:t>
      </w:r>
      <w:r>
        <w:rPr>
          <w:color w:val="000000"/>
        </w:rPr>
        <w:t>”</w:t>
      </w:r>
      <w:r>
        <w:rPr>
          <w:rFonts w:ascii="Times New Roman;serif" w:hAnsi="Times New Roman;serif"/>
          <w:b w:val="false"/>
          <w:color w:val="000000"/>
          <w:sz w:val="24"/>
        </w:rPr>
        <w:t>), as applicable. Since January 1, 2021, the Company has not held any premarket clearance or approval granted by the FDA or any comparable marketing authorization by a similar governmental entity as required by applicable law before commercializing a medical device or a pharmaceutical product (“</w:t>
      </w:r>
      <w:r>
        <w:rPr>
          <w:rFonts w:ascii="Times New Roman;serif" w:hAnsi="Times New Roman;serif"/>
          <w:b/>
          <w:color w:val="000000"/>
          <w:sz w:val="24"/>
          <w:u w:val="single"/>
        </w:rPr>
        <w:t>Regulatory Permits</w:t>
      </w:r>
      <w:r>
        <w:rPr>
          <w:color w:val="000000"/>
        </w:rPr>
        <w:t>”</w:t>
      </w:r>
      <w:r>
        <w:rPr>
          <w:rFonts w:ascii="Times New Roman;serif" w:hAnsi="Times New Roman;serif"/>
          <w:b w:val="false"/>
          <w:color w:val="000000"/>
          <w:sz w:val="24"/>
        </w:rPr>
        <w:t>). To the Company’s knowledge, no governmental entity has informed the Company that a Regulatory Permit is required for the Company to conduct its business as currently conducted.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(qq) </w:t>
      </w:r>
      <w:r>
        <w:rPr>
          <w:rFonts w:ascii="Times New Roman;serif" w:hAnsi="Times New Roman;serif"/>
          <w:b w:val="false"/>
          <w:color w:val="000000"/>
          <w:sz w:val="24"/>
          <w:u w:val="single"/>
        </w:rPr>
        <w:t>Sarbanes-Oxley</w:t>
      </w:r>
      <w:r>
        <w:rPr>
          <w:rFonts w:ascii="Times New Roman;serif" w:hAnsi="Times New Roman;serif"/>
          <w:b w:val="false"/>
          <w:color w:val="000000"/>
          <w:sz w:val="24"/>
        </w:rPr>
        <w:t>. There is and has been no failure on the part of the Company or, to the Company’s knowledge, any of its directors or officers, in their capacities as such, to comply with any applicable provision of the Sarbanes-Oxley Act of 2002, as amended and the rules and regulations promulgated in connection therewith (the “</w:t>
      </w:r>
      <w:r>
        <w:rPr>
          <w:rFonts w:ascii="Times New Roman;serif" w:hAnsi="Times New Roman;serif"/>
          <w:b/>
          <w:color w:val="000000"/>
          <w:sz w:val="24"/>
          <w:u w:val="single"/>
        </w:rPr>
        <w:t>Sarbanes-Oxley Act</w:t>
      </w:r>
      <w:r>
        <w:rPr>
          <w:color w:val="000000"/>
        </w:rPr>
        <w:t>”</w:t>
      </w:r>
      <w:r>
        <w:rPr>
          <w:rFonts w:ascii="Times New Roman;serif" w:hAnsi="Times New Roman;serif"/>
          <w:b w:val="false"/>
          <w:color w:val="000000"/>
          <w:sz w:val="24"/>
        </w:rPr>
        <w:t>), including Section 402 related to loans and Sections 302 and 906 related to certifications.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(rr) </w:t>
      </w:r>
      <w:r>
        <w:rPr>
          <w:rFonts w:ascii="Times New Roman;serif" w:hAnsi="Times New Roman;serif"/>
          <w:b w:val="false"/>
          <w:color w:val="000000"/>
          <w:sz w:val="24"/>
          <w:u w:val="single"/>
        </w:rPr>
        <w:t>Other Underwriting Agreements</w:t>
      </w:r>
      <w:r>
        <w:rPr>
          <w:rFonts w:ascii="Times New Roman;serif" w:hAnsi="Times New Roman;serif"/>
          <w:b w:val="false"/>
          <w:color w:val="000000"/>
          <w:sz w:val="24"/>
        </w:rPr>
        <w:t>. The Company is not a party to any agreement with an agent or underwriter for any other “at the market” or continuous equity transaction.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(ss) </w:t>
      </w:r>
      <w:r>
        <w:rPr>
          <w:rFonts w:ascii="Times New Roman;serif" w:hAnsi="Times New Roman;serif"/>
          <w:b w:val="false"/>
          <w:color w:val="000000"/>
          <w:sz w:val="24"/>
          <w:u w:val="single"/>
        </w:rPr>
        <w:t>Outbound Investment Security Program</w:t>
      </w:r>
      <w:r>
        <w:rPr>
          <w:rFonts w:ascii="Times New Roman;serif" w:hAnsi="Times New Roman;serif"/>
          <w:b w:val="false"/>
          <w:color w:val="000000"/>
          <w:sz w:val="24"/>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(“Covered Activity”).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certificate signed by an officer of the Company and delivered to TD Cowen or to counsel for TD Cowen pursuant to or in connection with this Agreement shall be deemed to be a representation and warranty by the Company to TD Cowen as to the matters set forth therein.</w:t>
      </w:r>
    </w:p>
    <w:p>
      <w:pPr>
        <w:pStyle w:val="TextBody"/>
        <w:bidi w:val="0"/>
        <w:spacing w:lineRule="auto" w:line="288" w:before="0" w:after="240"/>
        <w:jc w:val="both"/>
        <w:rPr/>
      </w:pPr>
      <w:r>
        <w:rPr>
          <w:rFonts w:ascii="Times New Roman;serif" w:hAnsi="Times New Roman;serif"/>
          <w:b w:val="false"/>
          <w:color w:val="000000"/>
          <w:sz w:val="24"/>
        </w:rPr>
        <w:t xml:space="preserve">The Company acknowledges that TD Cowen and, for purposes of the opinions to be delivered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hereof, counsel to the Company and counsel to TD Cowen, will rely upon the accuracy and truthfulness of the foregoing representations and hereby consents to such reliance.</w:t>
      </w:r>
    </w:p>
    <w:p>
      <w:pPr>
        <w:pStyle w:val="TextBody"/>
        <w:bidi w:val="0"/>
        <w:spacing w:before="0" w:after="2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1"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Covenants of the Company</w:t>
      </w:r>
      <w:r>
        <w:rPr>
          <w:rFonts w:ascii="Times New Roman;serif" w:hAnsi="Times New Roman;serif"/>
          <w:b w:val="false"/>
          <w:color w:val="000000"/>
          <w:sz w:val="24"/>
        </w:rPr>
        <w:t>. The Company covenants and agrees with TD Cowen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Registration Statement Amendments</w:t>
      </w:r>
      <w:r>
        <w:rPr>
          <w:rFonts w:ascii="Times New Roman;serif" w:hAnsi="Times New Roman;serif"/>
          <w:b w:val="false"/>
          <w:color w:val="000000"/>
          <w:sz w:val="24"/>
        </w:rPr>
        <w:t>.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(insofar as it relates to the Placement Shares or the transactions contemplated hereby), (ii) the Company will prepare and file with the Commission, promptly upon TD Cowen’s request, any amendments or supplements to the Registration Statement or Prospectus that, in TD Cowen’s reasonable opinion, may be necessary or advisable in connection with the distribution of the Placement Shares by TD Cowen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failure of TD Cowen to make such request shall not relieve the Company of any obligation or liability hereunder, or affect TD Cowen’s right to rely on the representations and warranties made by the Company in this Agreement);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failure of TD Cowen to make such objection shall not relieve the Company of any obligation or liability hereunder, or affect TD Cowen’s right to rely on the representations and warranties made by the Company in this Agreement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 Prior to the initial sale of any Placement Shares, the Company shall file a final Prospectus Supplement pursuant to Rule 424(b) relating to the Placement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Notice of Commission Stop Orders</w:t>
      </w:r>
      <w:r>
        <w:rPr>
          <w:rFonts w:ascii="Times New Roman;serif" w:hAnsi="Times New Roman;serif"/>
          <w:b w:val="false"/>
          <w:color w:val="000000"/>
          <w:sz w:val="24"/>
        </w:rPr>
        <w:t>.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2"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Delivery of Prospectus; Subsequent Changes</w:t>
      </w:r>
      <w:r>
        <w:rPr>
          <w:rFonts w:ascii="Times New Roman;serif" w:hAnsi="Times New Roman;serif"/>
          <w:b w:val="false"/>
          <w:color w:val="000000"/>
          <w:sz w:val="24"/>
        </w:rPr>
        <w:t xml:space="preserve">.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TD Cowen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serif" w:hAnsi="Times New Roman;serif"/>
          <w:b w:val="false"/>
          <w:i/>
          <w:color w:val="000000"/>
          <w:sz w:val="24"/>
        </w:rPr>
        <w:t>provided, that</w:t>
      </w:r>
      <w:r>
        <w:rPr>
          <w:rFonts w:ascii="Times New Roman;serif" w:hAnsi="Times New Roman;serif"/>
          <w:b w:val="false"/>
          <w:color w:val="000000"/>
          <w:sz w:val="24"/>
        </w:rPr>
        <w:t>, the Company may delay the filing of any amendment or supplement, if in the judgment of the Company, it is in the best interest of the Company, during which time of delay TD Cowen shall be under no obligation to make any sales of Placement Shares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Listing of Placement Shares</w:t>
      </w:r>
      <w:r>
        <w:rPr>
          <w:rFonts w:ascii="Times New Roman;serif" w:hAnsi="Times New Roman;serif"/>
          <w:b w:val="false"/>
          <w:color w:val="000000"/>
          <w:sz w:val="24"/>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the Company shall not be required in connection therewith to qualify as a foreign corporation or dealer in securities or file a general consent to service of process in any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Delivery of Registration Statement and Prospectus</w:t>
      </w:r>
      <w:r>
        <w:rPr>
          <w:rFonts w:ascii="Times New Roman;serif" w:hAnsi="Times New Roman;serif"/>
          <w:b w:val="false"/>
          <w:color w:val="000000"/>
          <w:sz w:val="24"/>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 xml:space="preserve">that the Company shall not be required to furnish any document (other than the Prospectus) to TD Cowen to the extent such document is available on EDGAR. </w:t>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3"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Earnings Statement</w:t>
      </w:r>
      <w:r>
        <w:rPr>
          <w:rFonts w:ascii="Times New Roman;serif" w:hAnsi="Times New Roman;serif"/>
          <w:b w:val="false"/>
          <w:color w:val="000000"/>
          <w:sz w:val="24"/>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Expenses</w:t>
      </w:r>
      <w:r>
        <w:rPr>
          <w:rFonts w:ascii="Times New Roman;serif" w:hAnsi="Times New Roman;serif"/>
          <w:b w:val="false"/>
          <w:color w:val="000000"/>
          <w:sz w:val="24"/>
        </w:rPr>
        <w:t xml:space="preserve">. The Company, whether or not the transactions contemplated hereunder are consummated or this Agreement is terminated, in accordance with the provisions of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 xml:space="preserve">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serif" w:hAnsi="Times New Roman;serif"/>
          <w:b w:val="false"/>
          <w:color w:val="000000"/>
          <w:sz w:val="24"/>
          <w:u w:val="single"/>
        </w:rPr>
        <w:t>Section 7(d)</w:t>
      </w:r>
      <w:r>
        <w:rPr>
          <w:color w:val="000000"/>
        </w:rPr>
        <w:t xml:space="preserve"> </w:t>
      </w:r>
      <w:r>
        <w:rPr>
          <w:rFonts w:ascii="Times New Roman;serif" w:hAnsi="Times New Roman;serif"/>
          <w:b w:val="false"/>
          <w:color w:val="000000"/>
          <w:sz w:val="24"/>
        </w:rPr>
        <w:t xml:space="preserve">of this Agreement, including filing fees (provided, however, that any fees or disbursements of counsel for TD Cowen in connection therewith shall be paid by TD Cowen except as set forth in (vii) below), (iv) the 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TD Cowen’s outside counsel for filings with the FINRA Corporate Financing Department, such legal expense reimbursement not to exceed $20,000 and (viii) the reasonable fees and disbursements of TD Cowen’s counsel in an amount not to exceed (A) $100,000 in connection with the execution of this Agreement and (B) $25,000 in connection with each Bring-Down Date with respect to which the Company is obligated to deliver a certificate pursuant to Section 7(m), for which no waiver is applicable. </w:t>
      </w:r>
    </w:p>
    <w:p>
      <w:pPr>
        <w:pStyle w:val="TextBody"/>
        <w:bidi w:val="0"/>
        <w:spacing w:lineRule="auto" w:line="288" w:before="0" w:after="240"/>
        <w:ind w:left="0" w:right="0" w:firstLine="72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The Company will use the Net Proceeds as described in the Prospectus in the section entitled “Use of Proceeds.”</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Notice of Other Sales</w:t>
      </w:r>
      <w:r>
        <w:rPr>
          <w:rFonts w:ascii="Times New Roman;serif" w:hAnsi="Times New Roman;serif"/>
          <w:b w:val="false"/>
          <w:color w:val="000000"/>
          <w:sz w:val="24"/>
        </w:rPr>
        <w:t xml:space="preserve">. During the pendency of any Placement Notice given hereunder, and for three (3)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notice shall not be required in connection with the (i) issuance, grant or sale of Common Stock, options to purchase shares of Common Stock, restricted stock units, stock awards or other equity awards or Common Stock issuable upon the exercise or vesting of options or other equity awards pursuant to any stock option, stock bonus or other equity incentive plan or arrangement described in the Prospectus,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TD Cowen in advance, (iv) the issuance of any shares of Common Stock, or securities convertible into or exercisable for Common Stock, offered and sold in a privately </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4"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negotiated transaction to vendors, customers or strategic partners, and otherwise conducted in a manner so as not to be integrated with the offering of the Placement Shares, or (v) the issuance of any shares of Common Stock issuable upon the exchange, conversion or redemption of securities or the exercise of warrants, options or other rights in effect or outstanding. </w:t>
      </w:r>
    </w:p>
    <w:p>
      <w:pPr>
        <w:pStyle w:val="TextBody"/>
        <w:bidi w:val="0"/>
        <w:spacing w:lineRule="auto" w:line="288"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Change of Circumstances</w:t>
      </w:r>
      <w:r>
        <w:rPr>
          <w:rFonts w:ascii="Times New Roman;serif" w:hAnsi="Times New Roman;serif"/>
          <w:b w:val="false"/>
          <w:color w:val="000000"/>
          <w:sz w:val="24"/>
        </w:rPr>
        <w:t>. The Company will, at any time during a fiscal quarter in which the Company intends to tender a Placement Notice or sell Placement Shares, advise TD Cowen promptly after it shall have received notice or obtained knowledge thereof, of any information or fact that would alter or affect in any material respect any opinion, certificate, letter or other document provided to TD Cowen pursuant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Due Diligence Cooperation</w:t>
      </w:r>
      <w:r>
        <w:rPr>
          <w:rFonts w:ascii="Times New Roman;serif" w:hAnsi="Times New Roman;serif"/>
          <w:b w:val="false"/>
          <w:color w:val="000000"/>
          <w:sz w:val="24"/>
        </w:rPr>
        <w:t>. During the term of this Agreement,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 business hours and at the Company’s principal offices or virtually, as TD Cowen may reasonably request.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Required Filings Relating to Placement of Placement Shares</w:t>
      </w:r>
      <w:r>
        <w:rPr>
          <w:rFonts w:ascii="Times New Roman;serif" w:hAnsi="Times New Roman;serif"/>
          <w:b w:val="false"/>
          <w:color w:val="000000"/>
          <w:sz w:val="24"/>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serif" w:hAnsi="Times New Roman;serif"/>
          <w:b/>
          <w:color w:val="000000"/>
          <w:sz w:val="24"/>
          <w:u w:val="single"/>
        </w:rPr>
        <w:t>Filing Date</w:t>
      </w:r>
      <w:r>
        <w:rPr>
          <w:color w:val="000000"/>
        </w:rPr>
        <w:t>”</w:t>
      </w:r>
      <w:r>
        <w:rPr>
          <w:rFonts w:ascii="Times New Roman;serif" w:hAnsi="Times New Roman;serif"/>
          <w:b w:val="false"/>
          <w:color w:val="000000"/>
          <w:sz w:val="24"/>
        </w:rPr>
        <w: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TD Cowen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w:t>
      </w:r>
    </w:p>
    <w:p>
      <w:pPr>
        <w:pStyle w:val="TextBody"/>
        <w:bidi w:val="0"/>
        <w:spacing w:lineRule="auto" w:line="288"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Bring-Down Dates; Certificate</w:t>
      </w:r>
      <w:r>
        <w:rPr>
          <w:rFonts w:ascii="Times New Roman;serif" w:hAnsi="Times New Roman;serif"/>
          <w:b w:val="false"/>
          <w:color w:val="000000"/>
          <w:sz w:val="24"/>
        </w:rPr>
        <w:t xml:space="preserve">. On or prior to the First Delivery Date and, following the First Delivery Date, each time during the term of this Agreement (i) the Company files the Prospectus relating to the Placement Shares or amends or supplements the Registration Statement or the Prospectus relating to the Placement Shares (other than a prospectus supplement filed in accordance with </w:t>
      </w:r>
      <w:r>
        <w:rPr>
          <w:rFonts w:ascii="Times New Roman;serif" w:hAnsi="Times New Roman;serif"/>
          <w:b w:val="false"/>
          <w:color w:val="000000"/>
          <w:sz w:val="24"/>
          <w:u w:val="single"/>
        </w:rPr>
        <w:t>Section 7(l)</w:t>
      </w:r>
      <w:r>
        <w:rPr>
          <w:color w:val="000000"/>
        </w:rPr>
        <w:t xml:space="preserve"> </w:t>
      </w:r>
      <w:r>
        <w:rPr>
          <w:rFonts w:ascii="Times New Roman;serif" w:hAnsi="Times New Roman;serif"/>
          <w:b w:val="false"/>
          <w:color w:val="000000"/>
          <w:sz w:val="24"/>
        </w:rPr>
        <w:t>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information “furnished” pursuant to Item 2.02 or 7.01 of Form 8-K) under the Exchange Act (each date of filing of one or more of the documents referred to in clauses (i) through (iv) shall be a “</w:t>
      </w:r>
      <w:r>
        <w:rPr>
          <w:rFonts w:ascii="Times New Roman;serif" w:hAnsi="Times New Roman;serif"/>
          <w:b/>
          <w:color w:val="000000"/>
          <w:sz w:val="24"/>
          <w:u w:val="single"/>
        </w:rPr>
        <w:t>Bring-Down Date</w:t>
      </w:r>
      <w:r>
        <w:rPr>
          <w:color w:val="000000"/>
        </w:rPr>
        <w:t>”</w:t>
      </w:r>
      <w:r>
        <w:rPr>
          <w:rFonts w:ascii="Times New Roman;serif" w:hAnsi="Times New Roman;serif"/>
          <w:b w:val="false"/>
          <w:color w:val="000000"/>
          <w:sz w:val="24"/>
        </w:rPr>
        <w:t xml:space="preserve">); the Company shall furnish TD Cowen with a certificate, in the form attached hereto as </w:t>
      </w:r>
      <w:r>
        <w:rPr>
          <w:rFonts w:ascii="Times New Roman;serif" w:hAnsi="Times New Roman;serif"/>
          <w:b w:val="false"/>
          <w:color w:val="000000"/>
          <w:sz w:val="24"/>
          <w:u w:val="single"/>
        </w:rPr>
        <w:t>Exhibit 7(m)</w:t>
      </w:r>
      <w:r>
        <w:rPr>
          <w:color w:val="000000"/>
        </w:rPr>
        <w:t xml:space="preserve"> </w:t>
      </w:r>
      <w:r>
        <w:rPr>
          <w:rFonts w:ascii="Times New Roman;serif" w:hAnsi="Times New Roman;serif"/>
          <w:b w:val="false"/>
          <w:color w:val="000000"/>
          <w:sz w:val="24"/>
        </w:rPr>
        <w:t xml:space="preserve">within one (1) Trading Day of any Bring-Down Date if requested by TD </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5"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- 22 -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Cowen. The requirement to provide a certificate under this </w:t>
      </w:r>
      <w:r>
        <w:rPr>
          <w:rFonts w:ascii="Times New Roman;serif" w:hAnsi="Times New Roman;serif"/>
          <w:b w:val="false"/>
          <w:color w:val="000000"/>
          <w:sz w:val="24"/>
          <w:u w:val="single"/>
        </w:rPr>
        <w:t>Section 7(m)</w:t>
      </w:r>
      <w:r>
        <w:rPr>
          <w:color w:val="000000"/>
        </w:rPr>
        <w:t xml:space="preserve"> </w:t>
      </w:r>
      <w:r>
        <w:rPr>
          <w:rFonts w:ascii="Times New Roman;serif" w:hAnsi="Times New Roman;serif"/>
          <w:b w:val="false"/>
          <w:color w:val="000000"/>
          <w:sz w:val="24"/>
        </w:rPr>
        <w:t xml:space="preserve">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such waiver shall not apply for any Bring-Down Date on which the Company files its annual report on Form 10-K. Notwithstanding the foregoing, if the Company subsequently decides to sell Placement Shares following a Bring-Down Date when the Company relied on such waiver and did not provide TD Cowen with a certificate under this </w:t>
      </w:r>
      <w:r>
        <w:rPr>
          <w:rFonts w:ascii="Times New Roman;serif" w:hAnsi="Times New Roman;serif"/>
          <w:b w:val="false"/>
          <w:color w:val="000000"/>
          <w:sz w:val="24"/>
          <w:u w:val="single"/>
        </w:rPr>
        <w:t>Section 7(m)</w:t>
      </w:r>
      <w:r>
        <w:rPr>
          <w:rFonts w:ascii="Times New Roman;serif" w:hAnsi="Times New Roman;serif"/>
          <w:b w:val="false"/>
          <w:color w:val="000000"/>
          <w:sz w:val="24"/>
        </w:rPr>
        <w:t xml:space="preserve">, then before the Company delivers the Placement Notice or TD Cowen sells any Placement Shares, the Company shall provide TD Cowen with a certificate, in the form attached hereto as </w:t>
      </w:r>
      <w:r>
        <w:rPr>
          <w:rFonts w:ascii="Times New Roman;serif" w:hAnsi="Times New Roman;serif"/>
          <w:b w:val="false"/>
          <w:color w:val="000000"/>
          <w:sz w:val="24"/>
          <w:u w:val="single"/>
        </w:rPr>
        <w:t>Exhibit 7(m)</w:t>
      </w:r>
      <w:r>
        <w:rPr>
          <w:rFonts w:ascii="Times New Roman;serif" w:hAnsi="Times New Roman;serif"/>
          <w:b w:val="false"/>
          <w:color w:val="000000"/>
          <w:sz w:val="24"/>
        </w:rPr>
        <w:t>, dated the date of the Placement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Legal Opinion</w:t>
      </w:r>
      <w:r>
        <w:rPr>
          <w:rFonts w:ascii="Times New Roman;serif" w:hAnsi="Times New Roman;serif"/>
          <w:b w:val="false"/>
          <w:color w:val="000000"/>
          <w:sz w:val="24"/>
        </w:rPr>
        <w:t xml:space="preserve">. On or prior to the First Delivery Date and within one (1) Trading Day of each Bring-Down Date with respect to which the Company is obligated to deliver a certificate in the form attached hereto as </w:t>
      </w:r>
      <w:r>
        <w:rPr>
          <w:rFonts w:ascii="Times New Roman;serif" w:hAnsi="Times New Roman;serif"/>
          <w:b w:val="false"/>
          <w:color w:val="000000"/>
          <w:sz w:val="24"/>
          <w:u w:val="single"/>
        </w:rPr>
        <w:t>Exhibit 7(m)</w:t>
      </w:r>
      <w:r>
        <w:rPr>
          <w:color w:val="000000"/>
        </w:rPr>
        <w:t xml:space="preserve"> </w:t>
      </w:r>
      <w:r>
        <w:rPr>
          <w:rFonts w:ascii="Times New Roman;serif" w:hAnsi="Times New Roman;serif"/>
          <w:b w:val="false"/>
          <w:color w:val="000000"/>
          <w:sz w:val="24"/>
        </w:rPr>
        <w:t>for which no waiver is applicable, the Company shall cause to be furnished to TD Cowen a written opinion and negative assurance letter of Wilson Sonsini Goodrich &amp; Rosati, P.C. (“</w:t>
      </w:r>
      <w:r>
        <w:rPr>
          <w:rFonts w:ascii="Times New Roman;serif" w:hAnsi="Times New Roman;serif"/>
          <w:b w:val="false"/>
          <w:color w:val="000000"/>
          <w:sz w:val="24"/>
          <w:u w:val="single"/>
        </w:rPr>
        <w:t>Company Counsel</w:t>
      </w:r>
      <w:r>
        <w:rPr>
          <w:color w:val="000000"/>
        </w:rPr>
        <w:t>”</w:t>
      </w:r>
      <w:r>
        <w:rPr>
          <w:rFonts w:ascii="Times New Roman;serif" w:hAnsi="Times New Roman;serif"/>
          <w:b w:val="false"/>
          <w:color w:val="000000"/>
          <w:sz w:val="24"/>
        </w:rPr>
        <w:t xml:space="preserve">), or other counsel satisfactory to TD Cowen, in form and substance satisfactory to TD Cowen and its counsel, dated the date that such opinion is required to be delivered, modified, as necessary, to relate to the Registration Statement and the Prospectus as then amended or supplemented;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in lieu of such opinion for subsequent Bring-Down Dates, counsel may furnish TD Cowen with a letter (a “</w:t>
      </w:r>
      <w:r>
        <w:rPr>
          <w:rFonts w:ascii="Times New Roman;serif" w:hAnsi="Times New Roman;serif"/>
          <w:b/>
          <w:color w:val="000000"/>
          <w:sz w:val="24"/>
          <w:u w:val="single"/>
        </w:rPr>
        <w:t>Reliance Letter</w:t>
      </w:r>
      <w:r>
        <w:rPr>
          <w:color w:val="000000"/>
        </w:rPr>
        <w:t>”</w:t>
      </w:r>
      <w:r>
        <w:rPr>
          <w:rFonts w:ascii="Times New Roman;serif" w:hAnsi="Times New Roman;serif"/>
          <w:b w:val="false"/>
          <w:color w:val="000000"/>
          <w:sz w:val="24"/>
        </w:rPr>
        <w:t xml:space="preserve">) to the effect that TD Cowen may rely on a prior opinion delivered under this </w:t>
      </w:r>
      <w:r>
        <w:rPr>
          <w:rFonts w:ascii="Times New Roman;serif" w:hAnsi="Times New Roman;serif"/>
          <w:b w:val="false"/>
          <w:color w:val="000000"/>
          <w:sz w:val="24"/>
          <w:u w:val="single"/>
        </w:rPr>
        <w:t>Section 7(n)</w:t>
      </w:r>
      <w:r>
        <w:rPr>
          <w:color w:val="000000"/>
        </w:rPr>
        <w:t xml:space="preserve"> </w:t>
      </w:r>
      <w:r>
        <w:rPr>
          <w:rFonts w:ascii="Times New Roman;serif" w:hAnsi="Times New Roman;serif"/>
          <w:b w:val="false"/>
          <w:color w:val="000000"/>
          <w:sz w:val="24"/>
        </w:rPr>
        <w:t xml:space="preserve">to the same extent as if it were dated the date of such letter (except that statements in such prior opinion shall be deemed to relate to the Registration Statement and the Prospectus as amended or supplemented at such Bring-Down Date).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Intellectual Property Opinion</w:t>
      </w:r>
      <w:r>
        <w:rPr>
          <w:rFonts w:ascii="Times New Roman;serif" w:hAnsi="Times New Roman;serif"/>
          <w:b w:val="false"/>
          <w:color w:val="000000"/>
          <w:sz w:val="24"/>
        </w:rPr>
        <w:t xml:space="preserve">. On or prior to the First Delivery Date and within one (1) Trading Day of each Bring-Down Date with respect to which the Company is obligated to deliver a certificate in the form attached hereto as </w:t>
      </w:r>
      <w:r>
        <w:rPr>
          <w:rFonts w:ascii="Times New Roman;serif" w:hAnsi="Times New Roman;serif"/>
          <w:b w:val="false"/>
          <w:color w:val="000000"/>
          <w:sz w:val="24"/>
          <w:u w:val="single"/>
        </w:rPr>
        <w:t>Exhibit 7(m)</w:t>
      </w:r>
      <w:r>
        <w:rPr>
          <w:color w:val="000000"/>
        </w:rPr>
        <w:t xml:space="preserve"> </w:t>
      </w:r>
      <w:r>
        <w:rPr>
          <w:rFonts w:ascii="Times New Roman;serif" w:hAnsi="Times New Roman;serif"/>
          <w:b w:val="false"/>
          <w:color w:val="000000"/>
          <w:sz w:val="24"/>
        </w:rPr>
        <w:t>for which no waiver is applicable, the Company shall cause to be furnished to TD Cowen a written opinion and negative assurance letter of the intellectual property counsel of the Company, or other counsel satisfactory to TD Cowen, including any other counsel subsequently hired by the Company with respect to the Company’s intellectual property matters (“</w:t>
      </w:r>
      <w:r>
        <w:rPr>
          <w:rFonts w:ascii="Times New Roman;serif" w:hAnsi="Times New Roman;serif"/>
          <w:b/>
          <w:color w:val="000000"/>
          <w:sz w:val="24"/>
          <w:u w:val="single"/>
        </w:rPr>
        <w:t>Company IP Counsel</w:t>
      </w:r>
      <w:r>
        <w:rPr>
          <w:color w:val="000000"/>
        </w:rPr>
        <w:t>”</w:t>
      </w:r>
      <w:r>
        <w:rPr>
          <w:rFonts w:ascii="Times New Roman;serif" w:hAnsi="Times New Roman;serif"/>
          <w:b w:val="false"/>
          <w:color w:val="000000"/>
          <w:sz w:val="24"/>
        </w:rPr>
        <w:t xml:space="preserve">), in form and substance satisfactory to TD Cowen and its counsel, dated the date that such opinion is required to be delivered, with respect to intellectual property matters, modified, as necessary, to relate to the Registration Statement and the Prospectus as then amended or supplemented;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in lieu of such opinion for subsequent Bring-Down Dates, counsel may furnish TD Cowen with a Reliance Letter to the effect that TD Cowen may rely on a prior opinion delivered under this </w:t>
      </w:r>
      <w:r>
        <w:rPr>
          <w:rFonts w:ascii="Times New Roman;serif" w:hAnsi="Times New Roman;serif"/>
          <w:b w:val="false"/>
          <w:color w:val="000000"/>
          <w:sz w:val="24"/>
          <w:u w:val="single"/>
        </w:rPr>
        <w:t>Section 7(o)</w:t>
      </w:r>
      <w:r>
        <w:rPr>
          <w:color w:val="000000"/>
        </w:rPr>
        <w:t xml:space="preserve"> </w:t>
      </w:r>
      <w:r>
        <w:rPr>
          <w:rFonts w:ascii="Times New Roman;serif" w:hAnsi="Times New Roman;serif"/>
          <w:b w:val="false"/>
          <w:color w:val="000000"/>
          <w:sz w:val="24"/>
        </w:rPr>
        <w:t>to the same extent as if it were dated the date of such letter (except that statements in such prior opinion shall be deemed to relate to the Registration Statement and the Prospectus as amended or supplemented at such Bring-Down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Comfort Letter</w:t>
      </w:r>
      <w:r>
        <w:rPr>
          <w:rFonts w:ascii="Times New Roman;serif" w:hAnsi="Times New Roman;serif"/>
          <w:b w:val="false"/>
          <w:color w:val="000000"/>
          <w:sz w:val="24"/>
        </w:rPr>
        <w:t xml:space="preserve">. On or prior to the First Delivery Date and within one (1) Trading Day of each Bring-Down Date with respect to which the Company is obligated to deliver a certificate in the form attached hereto as </w:t>
      </w:r>
      <w:r>
        <w:rPr>
          <w:rFonts w:ascii="Times New Roman;serif" w:hAnsi="Times New Roman;serif"/>
          <w:b w:val="false"/>
          <w:color w:val="000000"/>
          <w:sz w:val="24"/>
          <w:u w:val="single"/>
        </w:rPr>
        <w:t>Exhibit 7(m)</w:t>
      </w:r>
      <w:r>
        <w:rPr>
          <w:color w:val="000000"/>
        </w:rPr>
        <w:t xml:space="preserve"> </w:t>
      </w:r>
      <w:r>
        <w:rPr>
          <w:rFonts w:ascii="Times New Roman;serif" w:hAnsi="Times New Roman;serif"/>
          <w:b w:val="false"/>
          <w:color w:val="000000"/>
          <w:sz w:val="24"/>
        </w:rPr>
        <w:t xml:space="preserve">for which no waiver is applicable, the </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6"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- 23 -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Company shall cause its independent accountants to furnish TD Cowen letters (the “</w:t>
      </w:r>
      <w:r>
        <w:rPr>
          <w:rFonts w:ascii="Times New Roman;serif" w:hAnsi="Times New Roman;serif"/>
          <w:b/>
          <w:color w:val="000000"/>
          <w:sz w:val="24"/>
          <w:u w:val="single"/>
        </w:rPr>
        <w:t>Comfort Letters</w:t>
      </w:r>
      <w:r>
        <w:rPr>
          <w:color w:val="000000"/>
        </w:rPr>
        <w:t>”</w:t>
      </w:r>
      <w:r>
        <w:rPr>
          <w:rFonts w:ascii="Times New Roman;serif" w:hAnsi="Times New Roman;serif"/>
          <w:b w:val="false"/>
          <w:color w:val="000000"/>
          <w:sz w:val="24"/>
        </w:rPr>
        <w:t>), dated the date the Comfort Letter is delivered, in form and substance satisfactory to TD Cowen, (i) confirming that they are an independent registered public accounting firm within the meaning of the Securities Act and the Public Company Accounting Oversight Board, (ii) stating, as of such date, the conclusions and findings of such firm with respect to the financial information and other matters ordinarily covered by accountants’ “comfort letters” to TD Cowen in connection with registered public offerings (the first such letter, the “</w:t>
      </w:r>
      <w:r>
        <w:rPr>
          <w:rFonts w:ascii="Times New Roman;serif" w:hAnsi="Times New Roman;serif"/>
          <w:b/>
          <w:color w:val="000000"/>
          <w:sz w:val="24"/>
          <w:u w:val="single"/>
        </w:rPr>
        <w:t>Initial Comfort Letter</w:t>
      </w:r>
      <w:r>
        <w:rPr>
          <w:color w:val="000000"/>
        </w:rPr>
        <w:t>”</w:t>
      </w:r>
      <w:r>
        <w:rPr>
          <w:rFonts w:ascii="Times New Roman;serif" w:hAnsi="Times New Roman;serif"/>
          <w:b w:val="false"/>
          <w:color w:val="000000"/>
          <w:sz w:val="24"/>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Chief Financial Officer’s Certificate</w:t>
      </w:r>
      <w:r>
        <w:rPr>
          <w:rFonts w:ascii="Times New Roman;serif" w:hAnsi="Times New Roman;serif"/>
          <w:b w:val="false"/>
          <w:color w:val="000000"/>
          <w:sz w:val="24"/>
        </w:rPr>
        <w:t>. If requested by TD Cowen or its counsel, on or prior to the First Delivery Date and within one (1) Trading Day of each Bring-Down Date with respect to which the Company is obligated to deliver a certificate for which no waiver is applicable, the Company shall have delivered to TD Cowen a certificate executed by the Chief Financial Officer of the Company (“</w:t>
      </w:r>
      <w:r>
        <w:rPr>
          <w:rFonts w:ascii="Times New Roman;serif" w:hAnsi="Times New Roman;serif"/>
          <w:b/>
          <w:color w:val="000000"/>
          <w:sz w:val="24"/>
          <w:u w:val="single"/>
        </w:rPr>
        <w:t>CFO Certificate</w:t>
      </w:r>
      <w:r>
        <w:rPr>
          <w:color w:val="000000"/>
        </w:rPr>
        <w:t>”</w:t>
      </w:r>
      <w:r>
        <w:rPr>
          <w:rFonts w:ascii="Times New Roman;serif" w:hAnsi="Times New Roman;serif"/>
          <w:b w:val="false"/>
          <w:color w:val="000000"/>
          <w:sz w:val="24"/>
        </w:rPr>
        <w:t>), dated as of such date, in form and substance satisfactory to TD Cowen and its counsel.</w:t>
      </w:r>
    </w:p>
    <w:p>
      <w:pPr>
        <w:pStyle w:val="TextBody"/>
        <w:bidi w:val="0"/>
        <w:spacing w:lineRule="auto" w:line="288" w:before="0" w:after="24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u w:val="single"/>
        </w:rPr>
        <w:t>Market Activities</w:t>
      </w:r>
      <w:r>
        <w:rPr>
          <w:rFonts w:ascii="Times New Roman;serif" w:hAnsi="Times New Roman;serif"/>
          <w:b w:val="false"/>
          <w:color w:val="000000"/>
          <w:sz w:val="24"/>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TD Cowen; provided, however, that the Company may bid for and purchase shares of its common stock in accordance with Rule 10b-18 under the Exchange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(s)</w:t>
      </w:r>
      <w:r>
        <w:rPr>
          <w:rFonts w:ascii="Times New Roman;serif" w:hAnsi="Times New Roman;serif"/>
          <w:b w:val="false"/>
          <w:color w:val="000000"/>
          <w:sz w:val="24"/>
          <w:u w:val="single"/>
        </w:rPr>
        <w:t>Insurance</w:t>
      </w:r>
      <w:r>
        <w:rPr>
          <w:rFonts w:ascii="Times New Roman;serif" w:hAnsi="Times New Roman;serif"/>
          <w:b w:val="false"/>
          <w:color w:val="000000"/>
          <w:sz w:val="24"/>
        </w:rPr>
        <w:t>. The Company and its subsidiaries shall maintain, or cause to be maintained, insurance in such amounts and covering such risks as is reasonable and customary for the business for which it is engaged.</w:t>
      </w:r>
    </w:p>
    <w:p>
      <w:pPr>
        <w:pStyle w:val="TextBody"/>
        <w:bidi w:val="0"/>
        <w:spacing w:lineRule="auto" w:line="288" w:before="0" w:after="240"/>
        <w:ind w:left="0" w:right="0" w:firstLine="720"/>
        <w:jc w:val="both"/>
        <w:rPr/>
      </w:pPr>
      <w:r>
        <w:rPr>
          <w:rFonts w:ascii="Times New Roman;serif" w:hAnsi="Times New Roman;serif"/>
          <w:b w:val="false"/>
          <w:color w:val="000000"/>
          <w:sz w:val="24"/>
        </w:rPr>
        <w:t>(t)</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pStyle w:val="TextBody"/>
        <w:bidi w:val="0"/>
        <w:spacing w:lineRule="auto" w:line="288" w:before="0" w:after="240"/>
        <w:ind w:left="0" w:right="0" w:firstLine="720"/>
        <w:jc w:val="both"/>
        <w:rPr/>
      </w:pPr>
      <w:r>
        <w:rPr>
          <w:rFonts w:ascii="Times New Roman;serif" w:hAnsi="Times New Roman;serif"/>
          <w:b w:val="false"/>
          <w:color w:val="000000"/>
          <w:sz w:val="24"/>
        </w:rPr>
        <w:t>(u)</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7"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- 24 -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Securities Act and Exchange Act</w:t>
      </w:r>
      <w:r>
        <w:rPr>
          <w:rFonts w:ascii="Times New Roman;serif" w:hAnsi="Times New Roman;serif"/>
          <w:b w:val="false"/>
          <w:color w:val="000000"/>
          <w:sz w:val="24"/>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pStyle w:val="TextBody"/>
        <w:bidi w:val="0"/>
        <w:spacing w:lineRule="auto" w:line="288" w:before="0" w:after="240"/>
        <w:ind w:left="0" w:right="0" w:firstLine="720"/>
        <w:jc w:val="both"/>
        <w:rPr/>
      </w:pPr>
      <w:r>
        <w:rPr>
          <w:rFonts w:ascii="Times New Roman;serif" w:hAnsi="Times New Roman;serif"/>
          <w:b w:val="false"/>
          <w:color w:val="000000"/>
          <w:sz w:val="24"/>
        </w:rPr>
        <w:t>(w)</w:t>
      </w:r>
      <w:r>
        <w:rPr>
          <w:rFonts w:ascii="Times New Roman;serif" w:hAnsi="Times New Roman;serif"/>
          <w:b w:val="false"/>
          <w:color w:val="000000"/>
          <w:sz w:val="24"/>
          <w:u w:val="single"/>
        </w:rPr>
        <w:t>No Offer to Sell</w:t>
      </w:r>
      <w:r>
        <w:rPr>
          <w:rFonts w:ascii="Times New Roman;serif" w:hAnsi="Times New Roman;serif"/>
          <w:b w:val="false"/>
          <w:color w:val="000000"/>
          <w:sz w:val="24"/>
        </w:rPr>
        <w:t>. Other than the Prospectus and a Permitted Free Writing Prospectus, neither TD Cowen nor the Company (including its agents and 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(x)</w:t>
      </w:r>
      <w:r>
        <w:rPr>
          <w:rFonts w:ascii="Times New Roman;serif" w:hAnsi="Times New Roman;serif"/>
          <w:b w:val="false"/>
          <w:color w:val="000000"/>
          <w:sz w:val="24"/>
          <w:u w:val="single"/>
        </w:rPr>
        <w:t>Sarbanes-Oxley Act</w:t>
      </w:r>
      <w:r>
        <w:rPr>
          <w:rFonts w:ascii="Times New Roman;serif" w:hAnsi="Times New Roman;serif"/>
          <w:b w:val="false"/>
          <w:color w:val="000000"/>
          <w:sz w:val="24"/>
        </w:rPr>
        <w:t>. The Company and its subsidiaries will use their best efforts to comply with all effective applicable provisions of the Sarbanes-Oxley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(y)</w:t>
      </w:r>
      <w:r>
        <w:rPr>
          <w:rFonts w:ascii="Times New Roman;serif" w:hAnsi="Times New Roman;serif"/>
          <w:b w:val="false"/>
          <w:color w:val="000000"/>
          <w:sz w:val="24"/>
          <w:u w:val="single"/>
        </w:rPr>
        <w:t>Affirmation</w:t>
      </w:r>
      <w:r>
        <w:rPr>
          <w:rFonts w:ascii="Times New Roman;serif" w:hAnsi="Times New Roman;serif"/>
          <w:b w:val="false"/>
          <w:color w:val="000000"/>
          <w:sz w:val="24"/>
        </w:rPr>
        <w:t>. Each Placement Notice delivered by the Company to TD Cowen shall be deemed to be (i) an affirmation that the representations, warranties and agreements of the Company herein contained and contained in any certificate delivered to TD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(z)</w:t>
      </w:r>
      <w:r>
        <w:rPr>
          <w:rFonts w:ascii="Times New Roman;serif" w:hAnsi="Times New Roman;serif"/>
          <w:b w:val="false"/>
          <w:color w:val="000000"/>
          <w:sz w:val="24"/>
          <w:u w:val="single"/>
        </w:rPr>
        <w:t>Renewal</w:t>
      </w:r>
      <w:r>
        <w:rPr>
          <w:rFonts w:ascii="Times New Roman;serif" w:hAnsi="Times New Roman;serif"/>
          <w:b w:val="false"/>
          <w:color w:val="000000"/>
          <w:sz w:val="24"/>
        </w:rPr>
        <w:t>. If immediately prior to the third anniversary (the “</w:t>
      </w:r>
      <w:r>
        <w:rPr>
          <w:rFonts w:ascii="Times New Roman;serif" w:hAnsi="Times New Roman;serif"/>
          <w:b/>
          <w:color w:val="000000"/>
          <w:sz w:val="24"/>
          <w:u w:val="single"/>
        </w:rPr>
        <w:t>Renewal Deadline</w:t>
      </w:r>
      <w:r>
        <w:rPr>
          <w:color w:val="000000"/>
        </w:rPr>
        <w:t>”</w:t>
      </w:r>
      <w:r>
        <w:rPr>
          <w:rFonts w:ascii="Times New Roman;serif" w:hAnsi="Times New Roman;serif"/>
          <w:b w:val="false"/>
          <w:color w:val="000000"/>
          <w:sz w:val="24"/>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TD Cowen, and, if not automatically effective, will use its best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Conditions to TD Cowen’s Obligations</w:t>
      </w:r>
      <w:r>
        <w:rPr>
          <w:rFonts w:ascii="Times New Roman;serif" w:hAnsi="Times New Roman;serif"/>
          <w:b w:val="false"/>
          <w:color w:val="000000"/>
          <w:sz w:val="24"/>
        </w:rPr>
        <w:t xml:space="preserve">.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diligence review satisfactory to TD Cowen in its reasonable judgment, and to the continuing </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8"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- 25 -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satisfaction (or waiver by TD Cowen in its sole discretion) of the following additional conditions: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Registration Statement Effective</w:t>
      </w:r>
      <w:r>
        <w:rPr>
          <w:rFonts w:ascii="Times New Roman;serif" w:hAnsi="Times New Roman;serif"/>
          <w:b w:val="false"/>
          <w:color w:val="000000"/>
          <w:sz w:val="24"/>
        </w:rPr>
        <w:t>. The Registration Statement shall be effective and shall be available for (i) all sales of Placement Shares issued pursuant to all prior Placement Notices and (ii) the sale of all Placement Shares contemplated to be issued pursuant to any Placement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Material Notices</w:t>
      </w:r>
      <w:r>
        <w:rPr>
          <w:rFonts w:ascii="Times New Roman;serif" w:hAnsi="Times New Roman;serif"/>
          <w:b w:val="false"/>
          <w:color w:val="000000"/>
          <w:sz w:val="24"/>
        </w:rPr>
        <w:t xml:space="preserve">.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 Misstatement or Material Omission</w:t>
      </w:r>
      <w:r>
        <w:rPr>
          <w:rFonts w:ascii="Times New Roman;serif" w:hAnsi="Times New Roman;serif"/>
          <w:b w:val="false"/>
          <w:color w:val="000000"/>
          <w:sz w:val="24"/>
        </w:rPr>
        <w:t>. TD Cowen shall not have advised the Company that the Registration Statement or Prospectus, or any amendment or supplement thereto, contains an untrue statement of fact that in TD Cowen’s reasonable opinion is material, or omits to state a fact that in TD Cowen’s opinion is material and is required to be stated therein or is necessary to make the statements therein not misleading.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Material Changes</w:t>
      </w:r>
      <w:r>
        <w:rPr>
          <w:rFonts w:ascii="Times New Roman;serif" w:hAnsi="Times New Roman;serif"/>
          <w:b w:val="false"/>
          <w:color w:val="000000"/>
          <w:sz w:val="24"/>
        </w:rPr>
        <w:t xml:space="preserve">.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TD Cowen (without relieving the Company of any obligation or liability it may otherwise have), is </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9"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- 26 -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so material as to make it impracticable or inadvisable to proceed with the offering of the Placement Shares on the terms and in the manner contemplated in the Prospectus.</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Company Counsel Legal Opinion</w:t>
      </w:r>
      <w:r>
        <w:rPr>
          <w:rFonts w:ascii="Times New Roman;serif" w:hAnsi="Times New Roman;serif"/>
          <w:b w:val="false"/>
          <w:color w:val="000000"/>
          <w:sz w:val="24"/>
        </w:rPr>
        <w:t xml:space="preserve">. TD Cowen shall have received the opinion and negative assurance letter of Company Counsel required to be delivered pursuant to </w:t>
      </w:r>
      <w:r>
        <w:rPr>
          <w:rFonts w:ascii="Times New Roman;serif" w:hAnsi="Times New Roman;serif"/>
          <w:b w:val="false"/>
          <w:color w:val="000000"/>
          <w:sz w:val="24"/>
          <w:u w:val="single"/>
        </w:rPr>
        <w:t>Section 7(n)</w:t>
      </w:r>
      <w:r>
        <w:rPr>
          <w:color w:val="000000"/>
        </w:rPr>
        <w:t xml:space="preserve"> </w:t>
      </w:r>
      <w:r>
        <w:rPr>
          <w:rFonts w:ascii="Times New Roman;serif" w:hAnsi="Times New Roman;serif"/>
          <w:b w:val="false"/>
          <w:color w:val="000000"/>
          <w:sz w:val="24"/>
        </w:rPr>
        <w:t xml:space="preserve">on or before the date on which such delivery of such opinion is required pursuant to </w:t>
      </w:r>
      <w:r>
        <w:rPr>
          <w:rFonts w:ascii="Times New Roman;serif" w:hAnsi="Times New Roman;serif"/>
          <w:b w:val="false"/>
          <w:color w:val="000000"/>
          <w:sz w:val="24"/>
          <w:u w:val="single"/>
        </w:rPr>
        <w:t>Section 7(n)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Company IP Counsel Legal Opinion</w:t>
      </w:r>
      <w:r>
        <w:rPr>
          <w:rFonts w:ascii="Times New Roman;serif" w:hAnsi="Times New Roman;serif"/>
          <w:b w:val="false"/>
          <w:color w:val="000000"/>
          <w:sz w:val="24"/>
        </w:rPr>
        <w:t>. TD Cowen shall have received the opinion of Company IP Counsel required to be delivered pursuant to Section 7(o) on or before the date on which such delivery of such opinion is required pursuant to Section 7(o).</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TD Cowen Counsel Legal Opinion</w:t>
      </w:r>
      <w:r>
        <w:rPr>
          <w:rFonts w:ascii="Times New Roman;serif" w:hAnsi="Times New Roman;serif"/>
          <w:b w:val="false"/>
          <w:color w:val="000000"/>
          <w:sz w:val="24"/>
        </w:rPr>
        <w:t xml:space="preserve">. TD Cowen shall have received from Goodwin Procter LLP, counsel for TD Cowen, such opinion or opinions, on or before the date on which the delivery of the Company Counsel legal opinion is required pursuant to </w:t>
      </w:r>
      <w:r>
        <w:rPr>
          <w:rFonts w:ascii="Times New Roman;serif" w:hAnsi="Times New Roman;serif"/>
          <w:b w:val="false"/>
          <w:color w:val="000000"/>
          <w:sz w:val="24"/>
          <w:u w:val="single"/>
        </w:rPr>
        <w:t>Section 7(n)</w:t>
      </w:r>
      <w:r>
        <w:rPr>
          <w:rFonts w:ascii="Times New Roman;serif" w:hAnsi="Times New Roman;serif"/>
          <w:b w:val="false"/>
          <w:color w:val="000000"/>
          <w:sz w:val="24"/>
        </w:rPr>
        <w:t>, with respect to such matters as TD Cowen may reasonably require, and the Company shall have furnished to such counsel such documents as they request for enabling them to pass upon such matters.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Comfort Letter</w:t>
      </w:r>
      <w:r>
        <w:rPr>
          <w:rFonts w:ascii="Times New Roman;serif" w:hAnsi="Times New Roman;serif"/>
          <w:b w:val="false"/>
          <w:color w:val="000000"/>
          <w:sz w:val="24"/>
        </w:rPr>
        <w:t xml:space="preserve">. TD Cowen shall have received the Comfort Letter required to be delivered pursuant to </w:t>
      </w:r>
      <w:r>
        <w:rPr>
          <w:rFonts w:ascii="Times New Roman;serif" w:hAnsi="Times New Roman;serif"/>
          <w:b w:val="false"/>
          <w:color w:val="000000"/>
          <w:sz w:val="24"/>
          <w:u w:val="single"/>
        </w:rPr>
        <w:t>Section 7(p)</w:t>
      </w:r>
      <w:r>
        <w:rPr>
          <w:color w:val="000000"/>
        </w:rPr>
        <w:t xml:space="preserve"> </w:t>
      </w:r>
      <w:r>
        <w:rPr>
          <w:rFonts w:ascii="Times New Roman;serif" w:hAnsi="Times New Roman;serif"/>
          <w:b w:val="false"/>
          <w:color w:val="000000"/>
          <w:sz w:val="24"/>
        </w:rPr>
        <w:t xml:space="preserve">on or before the date on which such delivery of such Comfort Letter is required pursuant to </w:t>
      </w:r>
      <w:r>
        <w:rPr>
          <w:rFonts w:ascii="Times New Roman;serif" w:hAnsi="Times New Roman;serif"/>
          <w:b w:val="false"/>
          <w:color w:val="000000"/>
          <w:sz w:val="24"/>
          <w:u w:val="single"/>
        </w:rPr>
        <w:t>Section 7(p)</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Representation Certificate</w:t>
      </w:r>
      <w:r>
        <w:rPr>
          <w:rFonts w:ascii="Times New Roman;serif" w:hAnsi="Times New Roman;serif"/>
          <w:b w:val="false"/>
          <w:color w:val="000000"/>
          <w:sz w:val="24"/>
        </w:rPr>
        <w:t xml:space="preserve">. TD Cowen shall have received the certificate required to be delivered pursuant to </w:t>
      </w:r>
      <w:r>
        <w:rPr>
          <w:rFonts w:ascii="Times New Roman;serif" w:hAnsi="Times New Roman;serif"/>
          <w:b w:val="false"/>
          <w:color w:val="000000"/>
          <w:sz w:val="24"/>
          <w:u w:val="single"/>
        </w:rPr>
        <w:t>Section 7(m)</w:t>
      </w:r>
      <w:r>
        <w:rPr>
          <w:color w:val="000000"/>
        </w:rPr>
        <w:t xml:space="preserve"> </w:t>
      </w:r>
      <w:r>
        <w:rPr>
          <w:rFonts w:ascii="Times New Roman;serif" w:hAnsi="Times New Roman;serif"/>
          <w:b w:val="false"/>
          <w:color w:val="000000"/>
          <w:sz w:val="24"/>
        </w:rPr>
        <w:t xml:space="preserve">on or before the date on which delivery of such certificate is required pursuant to </w:t>
      </w:r>
      <w:r>
        <w:rPr>
          <w:rFonts w:ascii="Times New Roman;serif" w:hAnsi="Times New Roman;serif"/>
          <w:b w:val="false"/>
          <w:color w:val="000000"/>
          <w:sz w:val="24"/>
          <w:u w:val="single"/>
        </w:rPr>
        <w:t>Section 7(m)</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Secretary’s Certificate</w:t>
      </w:r>
      <w:r>
        <w:rPr>
          <w:rFonts w:ascii="Times New Roman;serif" w:hAnsi="Times New Roman;serif"/>
          <w:b w:val="false"/>
          <w:color w:val="000000"/>
          <w:sz w:val="24"/>
        </w:rPr>
        <w:t>. On or prior to the First Delivery Date, TD Cowen shall have received a certificate, signed on behalf of the Company by its corporate secretary, in form and substance reasonably satisfactory to TD Cowen and its counsel.</w:t>
      </w:r>
    </w:p>
    <w:p>
      <w:pPr>
        <w:pStyle w:val="TextBody"/>
        <w:bidi w:val="0"/>
        <w:spacing w:lineRule="auto" w:line="288"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CFO Certificate</w:t>
      </w:r>
      <w:r>
        <w:rPr>
          <w:rFonts w:ascii="Times New Roman;serif" w:hAnsi="Times New Roman;serif"/>
          <w:b w:val="false"/>
          <w:color w:val="000000"/>
          <w:sz w:val="24"/>
        </w:rPr>
        <w:t xml:space="preserve">. If requested by TD Cowen or its counsel, TD Cowen shall have received the CFO Certificate required to be delivered pursuant to </w:t>
      </w:r>
      <w:r>
        <w:rPr>
          <w:rFonts w:ascii="Times New Roman;serif" w:hAnsi="Times New Roman;serif"/>
          <w:b w:val="false"/>
          <w:color w:val="000000"/>
          <w:sz w:val="24"/>
          <w:u w:val="single"/>
        </w:rPr>
        <w:t>Section 7(q)</w:t>
      </w:r>
      <w:r>
        <w:rPr>
          <w:color w:val="000000"/>
        </w:rPr>
        <w:t xml:space="preserve"> </w:t>
      </w:r>
      <w:r>
        <w:rPr>
          <w:rFonts w:ascii="Times New Roman;serif" w:hAnsi="Times New Roman;serif"/>
          <w:b w:val="false"/>
          <w:color w:val="000000"/>
          <w:sz w:val="24"/>
        </w:rPr>
        <w:t xml:space="preserve">on or before the date on which delivery of such certificate is required pursuant to </w:t>
      </w:r>
      <w:r>
        <w:rPr>
          <w:rFonts w:ascii="Times New Roman;serif" w:hAnsi="Times New Roman;serif"/>
          <w:b w:val="false"/>
          <w:color w:val="000000"/>
          <w:sz w:val="24"/>
          <w:u w:val="single"/>
        </w:rPr>
        <w:t>Section 7(q)</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No Suspension</w:t>
      </w:r>
      <w:r>
        <w:rPr>
          <w:rFonts w:ascii="Times New Roman;serif" w:hAnsi="Times New Roman;serif"/>
          <w:b w:val="false"/>
          <w:color w:val="000000"/>
          <w:sz w:val="24"/>
        </w:rPr>
        <w:t>. Trading in the Common Stock shall not have been suspended on Nasdaq.</w:t>
      </w:r>
    </w:p>
    <w:p>
      <w:pPr>
        <w:pStyle w:val="TextBody"/>
        <w:bidi w:val="0"/>
        <w:spacing w:lineRule="auto" w:line="288"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Other Materials</w:t>
      </w:r>
      <w:r>
        <w:rPr>
          <w:rFonts w:ascii="Times New Roman;serif" w:hAnsi="Times New Roman;serif"/>
          <w:b w:val="false"/>
          <w:color w:val="000000"/>
          <w:sz w:val="24"/>
        </w:rPr>
        <w:t xml:space="preserve">. On each date on which the Company is required to deliver a certificate pursuant to </w:t>
      </w:r>
      <w:r>
        <w:rPr>
          <w:rFonts w:ascii="Times New Roman;serif" w:hAnsi="Times New Roman;serif"/>
          <w:b w:val="false"/>
          <w:color w:val="000000"/>
          <w:sz w:val="24"/>
          <w:u w:val="single"/>
        </w:rPr>
        <w:t>Section 7(m)</w:t>
      </w:r>
      <w:r>
        <w:rPr>
          <w:rFonts w:ascii="Times New Roman;serif" w:hAnsi="Times New Roman;serif"/>
          <w:b w:val="false"/>
          <w:color w:val="000000"/>
          <w:sz w:val="24"/>
        </w:rPr>
        <w:t>, the Company shall have furnished to TD Cowen such appropriate further information, certificates and documents as TD Cowen may have reasonably requested and which are customarily furnished by an issuer of securities in connection with a securities offering. All such opinions, certificates, letters and other documents shall have been in compliance with the provisions hereof. The Company will furnish TD Cowen with such conformed copies of such opinions, certificates, letters and other documents as TD Cowen shall have reasonably requested.</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0"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- 27 -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Securities Act Filings Made</w:t>
      </w:r>
      <w:r>
        <w:rPr>
          <w:rFonts w:ascii="Times New Roman;serif" w:hAnsi="Times New Roman;serif"/>
          <w:b w:val="false"/>
          <w:color w:val="000000"/>
          <w:sz w:val="24"/>
        </w:rPr>
        <w:t>. All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spacing w:lineRule="auto" w:line="288"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Nasdaq Listing</w:t>
      </w:r>
      <w:r>
        <w:rPr>
          <w:rFonts w:ascii="Times New Roman;serif" w:hAnsi="Times New Roman;serif"/>
          <w:b w:val="false"/>
          <w:color w:val="000000"/>
          <w:sz w:val="24"/>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No Termination Event</w:t>
      </w:r>
      <w:r>
        <w:rPr>
          <w:rFonts w:ascii="Times New Roman;serif" w:hAnsi="Times New Roman;serif"/>
          <w:b w:val="false"/>
          <w:color w:val="000000"/>
          <w:sz w:val="24"/>
        </w:rPr>
        <w:t xml:space="preserve">. There shall not have occurred any event that would permit TD Cowen to terminate this Agreement pursuant to </w:t>
      </w:r>
      <w:r>
        <w:rPr>
          <w:rFonts w:ascii="Times New Roman;serif" w:hAnsi="Times New Roman;serif"/>
          <w:b w:val="false"/>
          <w:color w:val="000000"/>
          <w:sz w:val="24"/>
          <w:u w:val="single"/>
        </w:rPr>
        <w:t>Section 11(a)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Indemnification and Contribution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Company Indemnification</w:t>
      </w:r>
      <w:r>
        <w:rPr>
          <w:rFonts w:ascii="Times New Roman;serif" w:hAnsi="Times New Roman;serif"/>
          <w:b w:val="false"/>
          <w:color w:val="000000"/>
          <w:sz w:val="24"/>
        </w:rPr>
        <w:t xml:space="preserve">. The Company agrees to indemnify and hold harmless TD Cowen, its affiliates and each of their respective directors, officers, partners, employees and agents of TD Cowen and each person, if any, who (i) controls TD Cowen within the meaning of Section 15 of the Securities Act or Section 20 of the Exchange Act, or (ii) is controlled by or is under common control with TD Cowen from and against any and all losses, claims, liabilities, expenses and damages (including, but not limited to, any and all reasonable documented investigative, legal and other expenses incurred in connection with, and any and all amounts paid in settlement (in accordance with </w:t>
      </w:r>
      <w:r>
        <w:rPr>
          <w:rFonts w:ascii="Times New Roman;serif" w:hAnsi="Times New Roman;serif"/>
          <w:b w:val="false"/>
          <w:color w:val="000000"/>
          <w:sz w:val="24"/>
          <w:u w:val="single"/>
        </w:rPr>
        <w:t>Section 9(c)</w:t>
      </w:r>
      <w:r>
        <w:rPr>
          <w:rFonts w:ascii="Times New Roman;serif" w:hAnsi="Times New Roman;serif"/>
          <w:b w:val="false"/>
          <w:color w:val="000000"/>
          <w:sz w:val="24"/>
        </w:rPr>
        <w:t xml:space="preserve">) of, any action, suit or proceeding between any of the indemnified parties and any indemnifying parties or between any indemnified party and any third party, or otherwise, or any claim asserted), as and when incurred,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in the light of (other than in the case of the Registration Statement) the circumstances under which they were made, not misleading or (z) any breach by any of the indemnifying parties of any of their respective representations, warranties and agreements contained in this Agreement;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third sentence in the eighth paragraph under the caption “Plan of Distribution” in the Prospectus. This indemnity agreement will be in addition to any liability that the Company might otherwise have.</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1"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- 28 -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TD Cowen Indemnification</w:t>
      </w:r>
      <w:r>
        <w:rPr>
          <w:rFonts w:ascii="Times New Roman;serif" w:hAnsi="Times New Roman;serif"/>
          <w:b w:val="false"/>
          <w:color w:val="000000"/>
          <w:sz w:val="24"/>
        </w:rPr>
        <w:t xml:space="preserve">.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serif" w:hAnsi="Times New Roman;serif"/>
          <w:b w:val="false"/>
          <w:color w:val="000000"/>
          <w:sz w:val="24"/>
          <w:u w:val="single"/>
        </w:rPr>
        <w:t>Section 9(a)</w:t>
      </w:r>
      <w:r>
        <w:rPr>
          <w:rFonts w:ascii="Times New Roman;serif" w:hAnsi="Times New Roman;serif"/>
          <w:b w:val="false"/>
          <w:color w:val="000000"/>
          <w:sz w:val="24"/>
        </w:rPr>
        <w:t>, as incurred, but only with respect to untrue statements or omissions, or alleged untrue statements or omissions, made in the Registration Statement (or any amendments thereto) or the Prospectus (or any amendment or supplement thereto) in reliance upon and in conformity with TD Cowen's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Procedure</w:t>
      </w:r>
      <w:r>
        <w:rPr>
          <w:rFonts w:ascii="Times New Roman;serif" w:hAnsi="Times New Roman;serif"/>
          <w:b w:val="false"/>
          <w:color w:val="000000"/>
          <w:sz w:val="24"/>
        </w:rPr>
        <w:t xml:space="preserve">. Any party that proposes to assert the right to be indemnified under this </w:t>
      </w:r>
      <w:r>
        <w:rPr>
          <w:rFonts w:ascii="Times New Roman;serif" w:hAnsi="Times New Roman;serif"/>
          <w:b w:val="false"/>
          <w:color w:val="000000"/>
          <w:sz w:val="24"/>
          <w:u w:val="single"/>
        </w:rPr>
        <w:t xml:space="preserve">Section 9 </w:t>
      </w:r>
      <w:r>
        <w:rPr>
          <w:rFonts w:ascii="Times New Roman;serif" w:hAnsi="Times New Roman;serif"/>
          <w:b w:val="false"/>
          <w:color w:val="000000"/>
          <w:sz w:val="24"/>
        </w:rPr>
        <w:t xml:space="preserve">will, promptly after receipt of notice of commencement of any action against such party in respect of which a claim is to be made against an indemnifying party or parties under this </w:t>
      </w:r>
      <w:r>
        <w:rPr>
          <w:rFonts w:ascii="Times New Roman;serif" w:hAnsi="Times New Roman;serif"/>
          <w:b w:val="false"/>
          <w:color w:val="000000"/>
          <w:sz w:val="24"/>
          <w:u w:val="single"/>
        </w:rPr>
        <w:t>Section 9</w:t>
      </w:r>
      <w:r>
        <w:rPr>
          <w:rFonts w:ascii="Times New Roman;serif" w:hAnsi="Times New Roman;serif"/>
          <w:b w:val="false"/>
          <w:color w:val="000000"/>
          <w:sz w:val="24"/>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and (ii) any liability that it may have to any indemnified party under the foregoing provision of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2"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- 29 -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by the indemnifying party promptly as they are incurred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(whether or not any indemnified party is a party thereto), unless such settlement, compromise or consent includes an unconditional release of each indemnified party from all liability arising or that may arise out of such claim, action or proceeding. </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Contribution</w:t>
      </w:r>
      <w:r>
        <w:rPr>
          <w:rFonts w:ascii="Times New Roman;serif" w:hAnsi="Times New Roman;serif"/>
          <w:b w:val="false"/>
          <w:color w:val="000000"/>
          <w:sz w:val="24"/>
        </w:rPr>
        <w:t xml:space="preserve">. In order to provide for just and equitable contribution in circumstances in which the indemnification provided for in the foregoing paragraphs of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is applicable in accordance with its terms but for any reason is held to be unavailable from the Company or TD Cowen, the Company and TD Cowen will contribute to the total losses, claims, liabilities, expenses and damages (including any documented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serif" w:hAnsi="Times New Roman;serif"/>
          <w:b w:val="false"/>
          <w:color w:val="000000"/>
          <w:sz w:val="24"/>
          <w:u w:val="single"/>
        </w:rPr>
        <w:t>Section 9(d)</w:t>
      </w:r>
      <w:r>
        <w:rPr>
          <w:color w:val="000000"/>
        </w:rPr>
        <w:t xml:space="preserve"> </w:t>
      </w:r>
      <w:r>
        <w:rPr>
          <w:rFonts w:ascii="Times New Roman;serif" w:hAnsi="Times New Roman;serif"/>
          <w:b w:val="false"/>
          <w:color w:val="000000"/>
          <w:sz w:val="24"/>
        </w:rPr>
        <w:t xml:space="preserve">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serif" w:hAnsi="Times New Roman;serif"/>
          <w:b w:val="false"/>
          <w:color w:val="000000"/>
          <w:sz w:val="24"/>
          <w:u w:val="single"/>
        </w:rPr>
        <w:t>Section 9(d)</w:t>
      </w:r>
      <w:r>
        <w:rPr>
          <w:color w:val="000000"/>
        </w:rPr>
        <w:t xml:space="preserve"> </w:t>
      </w:r>
      <w:r>
        <w:rPr>
          <w:rFonts w:ascii="Times New Roman;serif" w:hAnsi="Times New Roman;serif"/>
          <w:b w:val="false"/>
          <w:color w:val="000000"/>
          <w:sz w:val="24"/>
        </w:rPr>
        <w:t xml:space="preserve">shall be deemed to include, for the purpose of this </w:t>
      </w:r>
      <w:r>
        <w:rPr>
          <w:rFonts w:ascii="Times New Roman;serif" w:hAnsi="Times New Roman;serif"/>
          <w:b w:val="false"/>
          <w:color w:val="000000"/>
          <w:sz w:val="24"/>
          <w:u w:val="single"/>
        </w:rPr>
        <w:t>Section 9(d)</w:t>
      </w:r>
      <w:r>
        <w:rPr>
          <w:rFonts w:ascii="Times New Roman;serif" w:hAnsi="Times New Roman;serif"/>
          <w:b w:val="false"/>
          <w:color w:val="000000"/>
          <w:sz w:val="24"/>
        </w:rPr>
        <w:t xml:space="preserve">, any documented legal or other expenses reasonably incurred by such indemnified party in connection with investigating or defending any such action or claim to the extent consistent with </w:t>
      </w:r>
      <w:r>
        <w:rPr>
          <w:rFonts w:ascii="Times New Roman;serif" w:hAnsi="Times New Roman;serif"/>
          <w:b w:val="false"/>
          <w:color w:val="000000"/>
          <w:sz w:val="24"/>
          <w:u w:val="single"/>
        </w:rPr>
        <w:t>Section 9(c)</w:t>
      </w:r>
      <w:r>
        <w:rPr>
          <w:color w:val="000000"/>
        </w:rPr>
        <w:t xml:space="preserve"> </w:t>
      </w:r>
      <w:r>
        <w:rPr>
          <w:rFonts w:ascii="Times New Roman;serif" w:hAnsi="Times New Roman;serif"/>
          <w:b w:val="false"/>
          <w:color w:val="000000"/>
          <w:sz w:val="24"/>
        </w:rPr>
        <w:t xml:space="preserve">hereof. Notwithstanding the foregoing provisions of this </w:t>
      </w:r>
      <w:r>
        <w:rPr>
          <w:rFonts w:ascii="Times New Roman;serif" w:hAnsi="Times New Roman;serif"/>
          <w:b w:val="false"/>
          <w:color w:val="000000"/>
          <w:sz w:val="24"/>
          <w:u w:val="single"/>
        </w:rPr>
        <w:t>Section 9(d)</w:t>
      </w:r>
      <w:r>
        <w:rPr>
          <w:rFonts w:ascii="Times New Roman;serif" w:hAnsi="Times New Roman;serif"/>
          <w:b w:val="false"/>
          <w:color w:val="000000"/>
          <w:sz w:val="24"/>
        </w:rPr>
        <w:t xml:space="preserve">, TD Cowen shall not </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3"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- 30 -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serif" w:hAnsi="Times New Roman;serif"/>
          <w:b w:val="false"/>
          <w:color w:val="000000"/>
          <w:sz w:val="24"/>
          <w:u w:val="single"/>
        </w:rPr>
        <w:t>Section 9(d)</w:t>
      </w:r>
      <w:r>
        <w:rPr>
          <w:rFonts w:ascii="Times New Roman;serif" w:hAnsi="Times New Roman;serif"/>
          <w:b w:val="false"/>
          <w:color w:val="000000"/>
          <w:sz w:val="24"/>
        </w:rPr>
        <w:t xml:space="preserve">, any person who controls a party to this Agreement within the meaning of the Securities Act, and any officers, directors, partners, employees or agents of TD Cowen, will have the same rights to contribution as that party, and each officer of the Company who signed the Registration Statement, and each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serif" w:hAnsi="Times New Roman;serif"/>
          <w:b w:val="false"/>
          <w:color w:val="000000"/>
          <w:sz w:val="24"/>
          <w:u w:val="single"/>
        </w:rPr>
        <w:t>Section 9(d)</w:t>
      </w:r>
      <w:r>
        <w:rPr>
          <w:rFonts w:ascii="Times New Roman;serif" w:hAnsi="Times New Roman;serif"/>
          <w:b w:val="false"/>
          <w:color w:val="000000"/>
          <w:sz w:val="24"/>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serif" w:hAnsi="Times New Roman;serif"/>
          <w:b w:val="false"/>
          <w:color w:val="000000"/>
          <w:sz w:val="24"/>
          <w:u w:val="single"/>
        </w:rPr>
        <w:t>Section 9(d)</w:t>
      </w:r>
      <w:r>
        <w:rPr>
          <w:color w:val="000000"/>
        </w:rPr>
        <w:t xml:space="preserve"> </w:t>
      </w:r>
      <w:r>
        <w:rPr>
          <w:rFonts w:ascii="Times New Roman;serif" w:hAnsi="Times New Roman;serif"/>
          <w:b w:val="false"/>
          <w:color w:val="000000"/>
          <w:sz w:val="24"/>
        </w:rPr>
        <w:t xml:space="preserve">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serif" w:hAnsi="Times New Roman;serif"/>
          <w:b w:val="false"/>
          <w:color w:val="000000"/>
          <w:sz w:val="24"/>
          <w:u w:val="single"/>
        </w:rPr>
        <w:t>Section 9(c)</w:t>
      </w:r>
      <w:r>
        <w:rPr>
          <w:color w:val="000000"/>
        </w:rPr>
        <w:t xml:space="preserve"> </w:t>
      </w:r>
      <w:r>
        <w:rPr>
          <w:rFonts w:ascii="Times New Roman;serif" w:hAnsi="Times New Roman;serif"/>
          <w:b w:val="false"/>
          <w:color w:val="000000"/>
          <w:sz w:val="24"/>
        </w:rPr>
        <w:t xml:space="preserve">hereof, no party will be liable for contribution with respect to any action or claim settled without its written consent if such consent is required pursuant to </w:t>
      </w:r>
      <w:r>
        <w:rPr>
          <w:rFonts w:ascii="Times New Roman;serif" w:hAnsi="Times New Roman;serif"/>
          <w:b w:val="false"/>
          <w:color w:val="000000"/>
          <w:sz w:val="24"/>
          <w:u w:val="single"/>
        </w:rPr>
        <w:t>Section 9(c)</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Representations and Agreements to Survive Delivery</w:t>
      </w:r>
      <w:r>
        <w:rPr>
          <w:rFonts w:ascii="Times New Roman;serif" w:hAnsi="Times New Roman;serif"/>
          <w:b w:val="false"/>
          <w:color w:val="000000"/>
          <w:sz w:val="24"/>
        </w:rPr>
        <w:t xml:space="preserve">. The indemnity and contribution agreements contained in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TD Cowen shall have the right by giving notice as hereinafter specified at any time to terminate this Agreement if (i) any Material Adverse Change, or any development that could reasonably be expected to result in a Material Adverse Change has occurred that, in the reasonable judgment of TD Cowen, materially impairs the ability of TD Cowen to sell the Placement Shares hereunder, (ii) the Company shall have failed, refused or been unable to perform any agreement on its part to be performed hereunder, or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serif" w:hAnsi="Times New Roman;serif"/>
          <w:b w:val="false"/>
          <w:color w:val="000000"/>
          <w:sz w:val="24"/>
          <w:u w:val="single"/>
        </w:rPr>
        <w:t>Section 7(g)</w:t>
      </w:r>
      <w:r>
        <w:rPr>
          <w:color w:val="000000"/>
        </w:rPr>
        <w:t xml:space="preserve"> </w:t>
      </w:r>
      <w:r>
        <w:rPr>
          <w:rFonts w:ascii="Times New Roman;serif" w:hAnsi="Times New Roman;serif"/>
          <w:b w:val="false"/>
          <w:color w:val="000000"/>
          <w:sz w:val="24"/>
        </w:rPr>
        <w:t xml:space="preserve">(Expenses),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(Indemnification and Contribution),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(Representations and Agreements to Survive Delivery), </w:t>
      </w:r>
      <w:r>
        <w:rPr>
          <w:rFonts w:ascii="Times New Roman;serif" w:hAnsi="Times New Roman;serif"/>
          <w:b w:val="false"/>
          <w:color w:val="000000"/>
          <w:sz w:val="24"/>
          <w:u w:val="single"/>
        </w:rPr>
        <w:t>Section 16</w:t>
      </w:r>
      <w:r>
        <w:rPr>
          <w:color w:val="000000"/>
        </w:rPr>
        <w:t xml:space="preserve"> </w:t>
      </w:r>
      <w:r>
        <w:rPr>
          <w:rFonts w:ascii="Times New Roman;serif" w:hAnsi="Times New Roman;serif"/>
          <w:b w:val="false"/>
          <w:color w:val="000000"/>
          <w:sz w:val="24"/>
        </w:rPr>
        <w:t xml:space="preserve">(Applicable Law; Consent to Jurisdiction) and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 xml:space="preserve">(Waiver of Jury Trial) hereof shall remain in full force and effect notwithstanding such termination. If TD Cowen elects to terminate this Agreement as provided in this </w:t>
      </w:r>
      <w:r>
        <w:rPr>
          <w:rFonts w:ascii="Times New Roman;serif" w:hAnsi="Times New Roman;serif"/>
          <w:b w:val="false"/>
          <w:color w:val="000000"/>
          <w:sz w:val="24"/>
          <w:u w:val="single"/>
        </w:rPr>
        <w:t>Section 11(a)</w:t>
      </w:r>
      <w:r>
        <w:rPr>
          <w:rFonts w:ascii="Times New Roman;serif" w:hAnsi="Times New Roman;serif"/>
          <w:b w:val="false"/>
          <w:color w:val="000000"/>
          <w:sz w:val="24"/>
        </w:rPr>
        <w:t xml:space="preserve">, TD Cowen shall provide the required notice as specified in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(Notices).</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4"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- 31 -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serif" w:hAnsi="Times New Roman;serif"/>
          <w:b w:val="false"/>
          <w:color w:val="000000"/>
          <w:sz w:val="24"/>
          <w:u w:val="single"/>
        </w:rPr>
        <w:t>Section 7(g)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hereof shall remain in full force and effect notwithstanding such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serif" w:hAnsi="Times New Roman;serif"/>
          <w:b w:val="false"/>
          <w:color w:val="000000"/>
          <w:sz w:val="24"/>
          <w:u w:val="single"/>
        </w:rPr>
        <w:t>Section 7(g)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hereof shall remain in full force and effect notwithstanding such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Unless earlier terminated pursuant to this </w:t>
      </w: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this Agreement shall automatically terminate upon the issuance and sale of all of the Placement Shares through TD Cowen on the terms and subject to the conditions set forth herein;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provisions of </w:t>
      </w:r>
      <w:r>
        <w:rPr>
          <w:rFonts w:ascii="Times New Roman;serif" w:hAnsi="Times New Roman;serif"/>
          <w:b w:val="false"/>
          <w:color w:val="000000"/>
          <w:sz w:val="24"/>
          <w:u w:val="single"/>
        </w:rPr>
        <w:t>Section 7(g)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hereof shall remain in full force and effect notwithstanding such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This Agreement shall remain in full force and effect unless terminated pursuant to </w:t>
      </w:r>
      <w:r>
        <w:rPr>
          <w:rFonts w:ascii="Times New Roman;serif" w:hAnsi="Times New Roman;serif"/>
          <w:b w:val="false"/>
          <w:color w:val="000000"/>
          <w:sz w:val="24"/>
          <w:u w:val="single"/>
        </w:rPr>
        <w:t>Sections 11(a)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 or (d)</w:t>
      </w:r>
      <w:r>
        <w:rPr>
          <w:color w:val="000000"/>
        </w:rPr>
        <w:t xml:space="preserve"> </w:t>
      </w:r>
      <w:r>
        <w:rPr>
          <w:rFonts w:ascii="Times New Roman;serif" w:hAnsi="Times New Roman;serif"/>
          <w:b w:val="false"/>
          <w:color w:val="000000"/>
          <w:sz w:val="24"/>
        </w:rPr>
        <w:t xml:space="preserve">above or otherwise by mutual agreement of the parties;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 xml:space="preserve">that any such termination by mutual agreement shall in all cases be deemed to provide that </w:t>
      </w:r>
      <w:r>
        <w:rPr>
          <w:rFonts w:ascii="Times New Roman;serif" w:hAnsi="Times New Roman;serif"/>
          <w:b w:val="false"/>
          <w:color w:val="000000"/>
          <w:sz w:val="24"/>
          <w:u w:val="single"/>
        </w:rPr>
        <w:t>Section 7(g)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shall remain in full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Any termination of this Agreement shall be effective on the date specified in such notice of termination;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such termination shall not be effective until the close of business on the date of receipt of such notice by TD Cowen or the Company, as the case may be. If such termination shall occur prior to the Settlement Date for any sale of Placement Shares, such Placement Shares shall settle in accordance with the provisions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or other communications required or permitted to be given by any party to any other party pursuant to the terms of this Agreement shall be in writing, unless otherwise specified in this Agreement, and if sent to TD Cowen, shall be delivered to TD Cowen at TD Securities (USA) LLC, 1 Vanderbilt Avenue, New York, NY 10017, attention: ECM ATM Execution team, email: atm-team@tdsecurities.com, with a copy to CIBLegal@tdsecurities.com; or if sent to the Company, shall be delivered to the address of the Company as set forth in the Registration Statement, attention: General Counsel, email: mattm@nautilus.bio, with a copy (which shall not constitute notice) to Wilson Sonsini Goodrich &amp; Rosati, P.C., attention: Zachary Myers, email: zmyers@wsgr.com.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(iii) on the Business</w:t>
      </w:r>
      <w:r>
        <w:rPr>
          <w:color w:val="000000"/>
        </w:rPr>
        <w:t xml:space="preserve"> </w:t>
      </w:r>
      <w:r>
        <w:rPr>
          <w:rFonts w:ascii="Times New Roman;serif" w:hAnsi="Times New Roman;serif"/>
          <w:b w:val="false"/>
          <w:color w:val="000000"/>
          <w:sz w:val="24"/>
        </w:rPr>
        <w:t xml:space="preserve">Day actually received if deposited in the U.S. mail (certified or registered mail, return </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5"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- 32 -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receipt requested, postage prepaid) and (iv) when delivered by electronic communication (“</w:t>
      </w:r>
      <w:r>
        <w:rPr>
          <w:rFonts w:ascii="Times New Roman;serif" w:hAnsi="Times New Roman;serif"/>
          <w:b/>
          <w:color w:val="000000"/>
          <w:sz w:val="24"/>
          <w:u w:val="single"/>
        </w:rPr>
        <w:t>Electronic Notice</w:t>
      </w:r>
      <w:r>
        <w:rPr>
          <w:color w:val="000000"/>
        </w:rPr>
        <w:t>”</w:t>
      </w:r>
      <w:r>
        <w:rPr>
          <w:rFonts w:ascii="Times New Roman;serif" w:hAnsi="Times New Roman;serif"/>
          <w:b w:val="false"/>
          <w:color w:val="000000"/>
          <w:sz w:val="24"/>
        </w:rPr>
        <w:t>), at the time the party sending Electronic Notice receives verification of receipt by the receiving party, other than via auto-reply. For purposes of this Agreement, “</w:t>
      </w:r>
      <w:r>
        <w:rPr>
          <w:rFonts w:ascii="Times New Roman;serif" w:hAnsi="Times New Roman;serif"/>
          <w:b/>
          <w:color w:val="000000"/>
          <w:sz w:val="24"/>
          <w:u w:val="single"/>
        </w:rPr>
        <w:t>Business Day</w:t>
      </w:r>
      <w:r>
        <w:rPr>
          <w:color w:val="000000"/>
        </w:rPr>
        <w:t xml:space="preserve">” </w:t>
      </w:r>
      <w:r>
        <w:rPr>
          <w:rFonts w:ascii="Times New Roman;serif" w:hAnsi="Times New Roman;serif"/>
          <w:b w:val="false"/>
          <w:color w:val="000000"/>
          <w:sz w:val="24"/>
        </w:rPr>
        <w:t>shall mean any day on which the Nasdaq and commercial banks in the City of New York are open for business.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xml:space="preserve">. This Agreement shall inure to the benefit of and be binding upon the Company and TD Cowen and their respective successors and the affiliates, controlling persons, officers and directors referred to in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TD Cowen may assign its rights and obligations hereunder to an affiliate of TD Cowen without obtaining the Company’s consent.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Adjustments for Share Splits</w:t>
      </w:r>
      <w:r>
        <w:rPr>
          <w:rFonts w:ascii="Times New Roman;serif" w:hAnsi="Times New Roman;serif"/>
          <w:b w:val="false"/>
          <w:color w:val="000000"/>
          <w:sz w:val="24"/>
        </w:rPr>
        <w:t>. The parties acknowledge and agree that all share-related numbers contained in this Agreement shall be adjusted to take into account any share split, share dividend or similar event effected with respect to the Common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Entire Agreement; Amendment; Severability</w:t>
      </w:r>
      <w:r>
        <w:rPr>
          <w:rFonts w:ascii="Times New Roman;serif" w:hAnsi="Times New Roman;serif"/>
          <w:b w:val="false"/>
          <w:color w:val="000000"/>
          <w:sz w:val="24"/>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Except as provided in Section 12, neither this Agreement nor any term hereof may be amended except pursuant to a written instrument executed by the Company and TD Cowen; </w:t>
      </w:r>
      <w:r>
        <w:rPr>
          <w:rFonts w:ascii="Times New Roman;serif" w:hAnsi="Times New Roman;serif"/>
          <w:b w:val="false"/>
          <w:i/>
          <w:color w:val="000000"/>
          <w:sz w:val="24"/>
        </w:rPr>
        <w:t>provided</w:t>
      </w:r>
      <w:r>
        <w:rPr>
          <w:rFonts w:ascii="Times New Roman;serif" w:hAnsi="Times New Roman;serif"/>
          <w:b w:val="false"/>
          <w:color w:val="000000"/>
          <w:sz w:val="24"/>
        </w:rPr>
        <w:t>, that each party hereto may amend the list of individuals appearing under such party’s name on Schedule 2 by giving notice to the other party hereto.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Applicable Law; Consent to Jurisdiction</w:t>
      </w:r>
      <w:r>
        <w:rPr>
          <w:rFonts w:ascii="Times New Roman;serif" w:hAnsi="Times New Roman;serif"/>
          <w:b w:val="false"/>
          <w:color w:val="000000"/>
          <w:sz w:val="24"/>
        </w:rPr>
        <w:t xml:space="preserve">.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6"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- 33 -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The Company and TD Cowen each hereby irrevocably waives any right it may have to a trial by jury in respect of any claim based upon or arising out of this Agreement or any transaction contemplated hereby.</w:t>
      </w:r>
    </w:p>
    <w:p>
      <w:pPr>
        <w:pStyle w:val="TextBody"/>
        <w:bidi w:val="0"/>
        <w:spacing w:lineRule="auto" w:line="288"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Absence of Fiduciary Relationship</w:t>
      </w:r>
      <w:r>
        <w:rPr>
          <w:rFonts w:ascii="Times New Roman;serif" w:hAnsi="Times New Roman;serif"/>
          <w:b w:val="false"/>
          <w:i/>
          <w:color w:val="000000"/>
          <w:sz w:val="24"/>
        </w:rPr>
        <w:t xml:space="preserve">. </w:t>
      </w:r>
      <w:r>
        <w:rPr>
          <w:rFonts w:ascii="Times New Roman;serif" w:hAnsi="Times New Roman;serif"/>
          <w:b w:val="false"/>
          <w:color w:val="000000"/>
          <w:sz w:val="24"/>
        </w:rPr>
        <w:t>The Company acknowledges and agrees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is capable of evaluating and understanding and understands and accepts the terms, risks and conditions of the transactions contemplated by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(including pdf or any electronic signature complying with the U.S. federal ESIGN Act of 2000 (including, but not limited to, www.docusign.com or www.echosign.com)) or other transmission method and any counterpart so delivered shall be deemed to have been duly and validly delivered and be valid and effective for all purposes.</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7"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- 34 -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Recognition of the U.S. Special Resolution Regimes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In the event that TD Cowen is a Covered Entity and becomes subject to a proceeding under a U.S. Special Resolution Regime,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In the event that TD Cowen is a Covered Entity and TD Cowen or a BHC Act Affiliate of TD Cowen becomes subject to a proceeding under a U.S. Special Resolution Regime, Default Rights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For purposes of this Section 20; (a) “</w:t>
      </w:r>
      <w:r>
        <w:rPr>
          <w:rFonts w:ascii="Times New Roman;serif" w:hAnsi="Times New Roman;serif"/>
          <w:b/>
          <w:color w:val="000000"/>
          <w:sz w:val="24"/>
          <w:u w:val="single"/>
        </w:rPr>
        <w:t>BHC Act Affiliate</w:t>
      </w:r>
      <w:r>
        <w:rPr>
          <w:color w:val="000000"/>
        </w:rPr>
        <w:t xml:space="preserve">” </w:t>
      </w:r>
      <w:r>
        <w:rPr>
          <w:rFonts w:ascii="Times New Roman;serif" w:hAnsi="Times New Roman;serif"/>
          <w:b w:val="false"/>
          <w:color w:val="000000"/>
          <w:sz w:val="24"/>
        </w:rPr>
        <w:t>has the meaning assigned to the term “affiliate” in, and shall be interpreted in accordance with, 12 U.S.C. § 1841(k), (b) “</w:t>
      </w:r>
      <w:r>
        <w:rPr>
          <w:rFonts w:ascii="Times New Roman;serif" w:hAnsi="Times New Roman;serif"/>
          <w:b/>
          <w:color w:val="000000"/>
          <w:sz w:val="24"/>
          <w:u w:val="single"/>
        </w:rPr>
        <w:t>Covered Entity</w:t>
      </w:r>
      <w:r>
        <w:rPr>
          <w:color w:val="000000"/>
        </w:rPr>
        <w:t xml:space="preserve">” </w:t>
      </w:r>
      <w:r>
        <w:rPr>
          <w:rFonts w:ascii="Times New Roman;serif" w:hAnsi="Times New Roman;serif"/>
          <w:b w:val="false"/>
          <w:color w:val="000000"/>
          <w:sz w:val="24"/>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serif" w:hAnsi="Times New Roman;serif"/>
          <w:b/>
          <w:color w:val="000000"/>
          <w:sz w:val="24"/>
          <w:u w:val="single"/>
        </w:rPr>
        <w:t>Default Right</w:t>
      </w:r>
      <w:r>
        <w:rPr>
          <w:color w:val="000000"/>
        </w:rPr>
        <w:t xml:space="preserve">” </w:t>
      </w:r>
      <w:r>
        <w:rPr>
          <w:rFonts w:ascii="Times New Roman;serif" w:hAnsi="Times New Roman;serif"/>
          <w:b w:val="false"/>
          <w:color w:val="000000"/>
          <w:sz w:val="24"/>
        </w:rPr>
        <w:t>has the meaning assigned to that term in, and shall be interpreted in accordance with, 12 C.F.R. §§ 252.81, 47.2 or 382.1, as applicable, and (d) “</w:t>
      </w:r>
      <w:r>
        <w:rPr>
          <w:rFonts w:ascii="Times New Roman;serif" w:hAnsi="Times New Roman;serif"/>
          <w:b/>
          <w:color w:val="000000"/>
          <w:sz w:val="24"/>
          <w:u w:val="single"/>
        </w:rPr>
        <w:t>U.S. Special Resolution Regime</w:t>
      </w:r>
      <w:r>
        <w:rPr>
          <w:color w:val="000000"/>
        </w:rPr>
        <w:t xml:space="preserve">” </w:t>
      </w:r>
      <w:r>
        <w:rPr>
          <w:rFonts w:ascii="Times New Roman;serif" w:hAnsi="Times New Roman;serif"/>
          <w:b w:val="false"/>
          <w:color w:val="000000"/>
          <w:sz w:val="24"/>
        </w:rPr>
        <w:t>means each of (i) the Federal Deposit Insurance Act and the regulations promulgated thereunder and (ii) Title II of the Dodd-Frank Wall Street Reform and Consumer Protection Act and the regulations promulgated thereunder</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21. </w:t>
      </w:r>
      <w:r>
        <w:rPr>
          <w:rFonts w:ascii="Times New Roman;serif" w:hAnsi="Times New Roman;serif"/>
          <w:b w:val="false"/>
          <w:color w:val="000000"/>
          <w:sz w:val="24"/>
          <w:u w:val="single"/>
        </w:rPr>
        <w:t>Prior Sales Agreement</w:t>
      </w:r>
      <w:r>
        <w:rPr>
          <w:rFonts w:ascii="Times New Roman;serif" w:hAnsi="Times New Roman;serif"/>
          <w:b w:val="false"/>
          <w:color w:val="000000"/>
          <w:sz w:val="24"/>
        </w:rPr>
        <w:t xml:space="preserve">. Upon the parties’ execution of this Agreement, that certain Sales Agreement by and between the Company and TD Cowen dated February 28, 2024 and any side agreements thereto are concurrently terminated in accordance with their terms and any applicable notice provisions thereof are hereby waived. </w: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[Remainder of Page Intentionally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8"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- 35 -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foregoing correctly sets forth the understanding between the Company and TD Cowen, please so indicate in the space provided below for that purpose, whereupon this letter shall constitute a binding agreement between the Company and TD Cowen. </w:t>
      </w:r>
    </w:p>
    <w:tbl>
      <w:tblPr>
        <w:tblW w:w="5242" w:type="dxa"/>
        <w:jc w:val="right"/>
        <w:tblInd w:w="0" w:type="dxa"/>
        <w:tblLayout w:type="fixed"/>
        <w:tblCellMar>
          <w:top w:w="28" w:type="dxa"/>
          <w:left w:w="28" w:type="dxa"/>
          <w:bottom w:w="28" w:type="dxa"/>
          <w:right w:w="28" w:type="dxa"/>
        </w:tblCellMar>
      </w:tblPr>
      <w:tblGrid>
        <w:gridCol w:w="260"/>
        <w:gridCol w:w="228"/>
        <w:gridCol w:w="228"/>
        <w:gridCol w:w="228"/>
        <w:gridCol w:w="228"/>
        <w:gridCol w:w="228"/>
        <w:gridCol w:w="819"/>
        <w:gridCol w:w="819"/>
        <w:gridCol w:w="821"/>
        <w:gridCol w:w="228"/>
        <w:gridCol w:w="228"/>
        <w:gridCol w:w="228"/>
        <w:gridCol w:w="109"/>
        <w:gridCol w:w="109"/>
        <w:gridCol w:w="109"/>
        <w:gridCol w:w="109"/>
        <w:gridCol w:w="109"/>
        <w:gridCol w:w="154"/>
      </w:tblGrid>
      <w:tr>
        <w:trPr/>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TD Securities (USA)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Michael Murphy</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Michael Murphy</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ACCEPTED as of the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first-above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NAUTILUS BIOTECHNOLOGY,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Sujal Patel</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Sujal Patel</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99"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Sales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Sales Agreement</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u w:val="single"/>
        </w:rPr>
      </w:pPr>
      <w:r>
        <w:rPr>
          <w:rFonts w:ascii="Times New Roman;serif" w:hAnsi="Times New Roman;serif"/>
          <w:b/>
          <w:color w:val="000000"/>
          <w:sz w:val="24"/>
          <w:u w:val="single"/>
        </w:rPr>
        <w:t>SCHEDULE 1</w:t>
      </w:r>
    </w:p>
    <w:p>
      <w:pPr>
        <w:pStyle w:val="TextBody"/>
        <w:bidi w:val="0"/>
        <w:spacing w:lineRule="auto" w:line="288" w:before="0" w:after="480"/>
        <w:jc w:val="center"/>
        <w:rPr>
          <w:rFonts w:ascii="Times New Roman;serif" w:hAnsi="Times New Roman;serif"/>
          <w:b/>
          <w:color w:val="000000"/>
          <w:sz w:val="24"/>
          <w:u w:val="single"/>
        </w:rPr>
      </w:pPr>
      <w:r>
        <w:rPr>
          <w:rFonts w:ascii="Times New Roman;serif" w:hAnsi="Times New Roman;serif"/>
          <w:b/>
          <w:color w:val="000000"/>
          <w:sz w:val="24"/>
          <w:u w:val="single"/>
        </w:rPr>
        <w:t>FORM OF PLACEMENT NOTICE</w:t>
      </w:r>
    </w:p>
    <w:tbl>
      <w:tblPr>
        <w:tblW w:w="6321" w:type="dxa"/>
        <w:jc w:val="left"/>
        <w:tblInd w:w="0" w:type="dxa"/>
        <w:tblLayout w:type="fixed"/>
        <w:tblCellMar>
          <w:top w:w="28" w:type="dxa"/>
          <w:left w:w="28" w:type="dxa"/>
          <w:bottom w:w="28" w:type="dxa"/>
          <w:right w:w="28" w:type="dxa"/>
        </w:tblCellMar>
      </w:tblPr>
      <w:tblGrid>
        <w:gridCol w:w="341"/>
        <w:gridCol w:w="301"/>
        <w:gridCol w:w="303"/>
        <w:gridCol w:w="433"/>
        <w:gridCol w:w="433"/>
        <w:gridCol w:w="433"/>
        <w:gridCol w:w="433"/>
        <w:gridCol w:w="433"/>
        <w:gridCol w:w="433"/>
        <w:gridCol w:w="433"/>
        <w:gridCol w:w="433"/>
        <w:gridCol w:w="433"/>
        <w:gridCol w:w="433"/>
        <w:gridCol w:w="433"/>
        <w:gridCol w:w="613"/>
      </w:tblGrid>
      <w:tr>
        <w:trPr/>
        <w:tc>
          <w:tcPr>
            <w:tcW w:w="3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From:</w:t>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Cc:</w:t>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w:t>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Subject: </w:t>
            </w:r>
          </w:p>
        </w:tc>
        <w:tc>
          <w:tcPr>
            <w:tcW w:w="537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TD Cowen At the Market Offering—Placement Notice</w:t>
            </w:r>
          </w:p>
        </w:tc>
      </w:tr>
    </w:tbl>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Gentlemen:</w:t>
      </w:r>
    </w:p>
    <w:p>
      <w:pPr>
        <w:pStyle w:val="TextBody"/>
        <w:bidi w:val="0"/>
        <w:spacing w:lineRule="auto" w:line="288" w:before="0" w:after="240"/>
        <w:jc w:val="both"/>
        <w:rPr/>
      </w:pPr>
      <w:r>
        <w:rPr>
          <w:rFonts w:ascii="Times New Roman;serif" w:hAnsi="Times New Roman;serif"/>
          <w:b w:val="false"/>
          <w:color w:val="000000"/>
          <w:sz w:val="24"/>
        </w:rPr>
        <w:t>Pursuant to the terms and subject to the conditions contained in the Sales Agreement between Nautilus Biotechnology,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TD Securities (USA) LLC (“</w:t>
      </w:r>
      <w:r>
        <w:rPr>
          <w:rFonts w:ascii="Times New Roman;serif" w:hAnsi="Times New Roman;serif"/>
          <w:b w:val="false"/>
          <w:color w:val="000000"/>
          <w:sz w:val="24"/>
          <w:u w:val="single"/>
        </w:rPr>
        <w:t>TD Cowen</w:t>
      </w:r>
      <w:r>
        <w:rPr>
          <w:color w:val="000000"/>
        </w:rPr>
        <w:t>”</w:t>
      </w:r>
      <w:r>
        <w:rPr>
          <w:rFonts w:ascii="Times New Roman;serif" w:hAnsi="Times New Roman;serif"/>
          <w:b w:val="false"/>
          <w:color w:val="000000"/>
          <w:sz w:val="24"/>
        </w:rPr>
        <w:t>), dated September 11, 2026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 hereby request on behalf of the Company that TD Cowen sell up to [●] shares of the Company’s common stock, par value $0.0001 per share, at a minimum market price of $[●] per share. Sales should begin on the date of this Notice and shall continue until [DATE] [all shares are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0"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600"/>
        <w:jc w:val="right"/>
        <w:rPr>
          <w:rFonts w:ascii="Times New Roman;serif" w:hAnsi="Times New Roman;serif"/>
          <w:b/>
          <w:color w:val="000000"/>
          <w:sz w:val="24"/>
          <w:u w:val="single"/>
        </w:rPr>
      </w:pPr>
      <w:r>
        <w:rPr>
          <w:rFonts w:ascii="Times New Roman;serif" w:hAnsi="Times New Roman;serif"/>
          <w:b/>
          <w:color w:val="000000"/>
          <w:sz w:val="24"/>
          <w:u w:val="single"/>
        </w:rPr>
        <w:t>SCHEDULE 2</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Notice Parties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Company</w:t>
      </w:r>
    </w:p>
    <w:tbl>
      <w:tblPr>
        <w:tblW w:w="4198" w:type="dxa"/>
        <w:jc w:val="left"/>
        <w:tblInd w:w="0" w:type="dxa"/>
        <w:tblLayout w:type="fixed"/>
        <w:tblCellMar>
          <w:top w:w="28" w:type="dxa"/>
          <w:left w:w="28" w:type="dxa"/>
          <w:bottom w:w="28" w:type="dxa"/>
          <w:right w:w="28" w:type="dxa"/>
        </w:tblCellMar>
      </w:tblPr>
      <w:tblGrid>
        <w:gridCol w:w="644"/>
        <w:gridCol w:w="567"/>
        <w:gridCol w:w="573"/>
        <w:gridCol w:w="707"/>
        <w:gridCol w:w="707"/>
        <w:gridCol w:w="1000"/>
      </w:tblGrid>
      <w:tr>
        <w:trPr/>
        <w:tc>
          <w:tcPr>
            <w:tcW w:w="64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Sujal Patel</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Anna Mowry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CC:</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Matthew Murphy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General Counsel</w:t>
            </w:r>
          </w:p>
        </w:tc>
      </w:tr>
    </w:tbl>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TD Cowen</w:t>
      </w:r>
    </w:p>
    <w:tbl>
      <w:tblPr>
        <w:tblW w:w="3868" w:type="dxa"/>
        <w:jc w:val="left"/>
        <w:tblInd w:w="0" w:type="dxa"/>
        <w:tblLayout w:type="fixed"/>
        <w:tblCellMar>
          <w:top w:w="28" w:type="dxa"/>
          <w:left w:w="28" w:type="dxa"/>
          <w:bottom w:w="28" w:type="dxa"/>
          <w:right w:w="28" w:type="dxa"/>
        </w:tblCellMar>
      </w:tblPr>
      <w:tblGrid>
        <w:gridCol w:w="695"/>
        <w:gridCol w:w="611"/>
        <w:gridCol w:w="613"/>
        <w:gridCol w:w="570"/>
        <w:gridCol w:w="570"/>
        <w:gridCol w:w="80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Michael J. Murphy</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Managing Director</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William Follis</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Managing Director</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Adriano Pierroz</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Director</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Megan Sanford</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Associate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1"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720"/>
        <w:jc w:val="right"/>
        <w:rPr>
          <w:rFonts w:ascii="Times New Roman;serif" w:hAnsi="Times New Roman;serif"/>
          <w:b/>
          <w:color w:val="000000"/>
          <w:sz w:val="24"/>
          <w:u w:val="single"/>
        </w:rPr>
      </w:pPr>
      <w:r>
        <w:rPr>
          <w:rFonts w:ascii="Times New Roman;serif" w:hAnsi="Times New Roman;serif"/>
          <w:b/>
          <w:color w:val="000000"/>
          <w:sz w:val="24"/>
          <w:u w:val="single"/>
        </w:rPr>
        <w:t>SCHEDULE 3</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Compensation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TD Cowen shall be paid compensation up to 3.0% of the gross proceeds from the sales of Common Stock pursuant to the terms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2"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720"/>
        <w:jc w:val="right"/>
        <w:rPr>
          <w:rFonts w:ascii="Times New Roman;serif" w:hAnsi="Times New Roman;serif"/>
          <w:b/>
          <w:color w:val="000000"/>
          <w:sz w:val="24"/>
          <w:u w:val="single"/>
        </w:rPr>
      </w:pPr>
      <w:r>
        <w:rPr>
          <w:rFonts w:ascii="Times New Roman;serif" w:hAnsi="Times New Roman;serif"/>
          <w:b/>
          <w:color w:val="000000"/>
          <w:sz w:val="24"/>
          <w:u w:val="single"/>
        </w:rPr>
        <w:t xml:space="preserve">Exhibit 7(m) </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NAUTILUS BIOTECHNOLOGY, INC.</w:t>
      </w:r>
    </w:p>
    <w:p>
      <w:pPr>
        <w:pStyle w:val="TextBody"/>
        <w:bidi w:val="0"/>
        <w:spacing w:lineRule="auto" w:line="240" w:before="0" w:after="0"/>
        <w:jc w:val="center"/>
        <w:rPr>
          <w:rFonts w:ascii="Times New Roman;serif" w:hAnsi="Times New Roman;serif"/>
          <w:b/>
          <w:color w:val="000000"/>
          <w:sz w:val="24"/>
          <w:u w:val="single"/>
        </w:rPr>
      </w:pPr>
      <w:r>
        <w:rPr>
          <w:rFonts w:ascii="Times New Roman;serif" w:hAnsi="Times New Roman;serif"/>
          <w:b/>
          <w:color w:val="000000"/>
          <w:sz w:val="24"/>
          <w:u w:val="single"/>
        </w:rPr>
        <w:t>OFFICER's CERTIFICATE</w:t>
      </w:r>
    </w:p>
    <w:p>
      <w:pPr>
        <w:pStyle w:val="TextBody"/>
        <w:bidi w:val="0"/>
        <w:spacing w:before="0" w:after="0"/>
        <w:jc w:val="center"/>
        <w:rPr/>
      </w:pPr>
      <w:r>
        <w:rPr/>
      </w:r>
    </w:p>
    <w:p>
      <w:pPr>
        <w:pStyle w:val="TextBody"/>
        <w:bidi w:val="0"/>
        <w:spacing w:before="0" w:after="240"/>
        <w:jc w:val="center"/>
        <w:rPr/>
      </w:pPr>
      <w:r>
        <w:rPr/>
      </w:r>
    </w:p>
    <w:p>
      <w:pPr>
        <w:pStyle w:val="TextBody"/>
        <w:bidi w:val="0"/>
        <w:spacing w:lineRule="auto" w:line="288" w:before="0" w:after="240"/>
        <w:jc w:val="both"/>
        <w:rPr/>
      </w:pPr>
      <w:r>
        <w:rPr>
          <w:rFonts w:ascii="Times New Roman;serif" w:hAnsi="Times New Roman;serif"/>
          <w:b w:val="false"/>
          <w:color w:val="000000"/>
          <w:sz w:val="24"/>
        </w:rPr>
        <w:t>The undersigned, the duly qualified and elected [●] of Nautilus Biotechnology, Inc., a Delaware corporation (the “</w:t>
      </w:r>
      <w:r>
        <w:rPr>
          <w:rFonts w:ascii="Times New Roman;serif" w:hAnsi="Times New Roman;serif"/>
          <w:b/>
          <w:color w:val="000000"/>
          <w:sz w:val="24"/>
          <w:u w:val="single"/>
        </w:rPr>
        <w:t>Company</w:t>
      </w:r>
      <w:r>
        <w:rPr>
          <w:color w:val="000000"/>
        </w:rPr>
        <w:t>”</w:t>
      </w:r>
      <w:r>
        <w:rPr>
          <w:rFonts w:ascii="Times New Roman;serif" w:hAnsi="Times New Roman;serif"/>
          <w:b w:val="false"/>
          <w:color w:val="000000"/>
          <w:sz w:val="24"/>
        </w:rPr>
        <w:t xml:space="preserve">), does hereby certify in such capacity and on behalf of the Company (and not in the undersigned’s individual capacity), pursuant to </w:t>
      </w:r>
      <w:r>
        <w:rPr>
          <w:rFonts w:ascii="Times New Roman;serif" w:hAnsi="Times New Roman;serif"/>
          <w:b w:val="false"/>
          <w:color w:val="000000"/>
          <w:sz w:val="24"/>
          <w:u w:val="single"/>
        </w:rPr>
        <w:t>Section 7(m)</w:t>
      </w:r>
      <w:r>
        <w:rPr>
          <w:color w:val="000000"/>
        </w:rPr>
        <w:t xml:space="preserve"> </w:t>
      </w:r>
      <w:r>
        <w:rPr>
          <w:rFonts w:ascii="Times New Roman;serif" w:hAnsi="Times New Roman;serif"/>
          <w:b w:val="false"/>
          <w:color w:val="000000"/>
          <w:sz w:val="24"/>
        </w:rPr>
        <w:t>of the Sales Agreement, dated September 11, 2026 (the “</w:t>
      </w:r>
      <w:r>
        <w:rPr>
          <w:rFonts w:ascii="Times New Roman;serif" w:hAnsi="Times New Roman;serif"/>
          <w:b/>
          <w:color w:val="000000"/>
          <w:sz w:val="24"/>
          <w:u w:val="single"/>
        </w:rPr>
        <w:t>Sales Agreement</w:t>
      </w:r>
      <w:r>
        <w:rPr>
          <w:color w:val="000000"/>
        </w:rPr>
        <w:t>”</w:t>
      </w:r>
      <w:r>
        <w:rPr>
          <w:rFonts w:ascii="Times New Roman;serif" w:hAnsi="Times New Roman;serif"/>
          <w:b w:val="false"/>
          <w:color w:val="000000"/>
          <w:sz w:val="24"/>
        </w:rPr>
        <w:t>), by and between the Company and TD Securities (USA) LLC, that to the best of the knowledge of the undersigned: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The representations and warranties of the Company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rPr>
        <w:t>The Company has complied with all agreements and satisfied all conditions on its part to be performed or satisfied pursuant to the Sales Agreement at or prior to the date 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Wilson Sonsini Goodrich &amp; Rosati, P.C., and Goodwin Procter LLP are entitled to rely upon this certificate in connection with the respective opinions given by such firms pursuant to the Sales Agreement.</w:t>
      </w:r>
    </w:p>
    <w:p>
      <w:pPr>
        <w:pStyle w:val="TextBody"/>
        <w:bidi w:val="0"/>
        <w:spacing w:lineRule="auto" w:line="288" w:before="0" w:after="7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but not defined herein shall have the respective meanings set forth in the Sales Agreement.</w:t>
      </w:r>
    </w:p>
    <w:p>
      <w:pPr>
        <w:pStyle w:val="TextBody"/>
        <w:bidi w:val="0"/>
        <w:spacing w:lineRule="auto" w:line="240" w:before="0" w:after="240"/>
        <w:ind w:left="0" w:right="0" w:firstLine="720"/>
        <w:jc w:val="center"/>
        <w:rPr>
          <w:rFonts w:ascii="Times New Roman;serif" w:hAnsi="Times New Roman;serif"/>
          <w:b w:val="false"/>
          <w:i/>
          <w:color w:val="000000"/>
          <w:sz w:val="24"/>
        </w:rPr>
      </w:pPr>
      <w:r>
        <w:rPr>
          <w:rFonts w:ascii="Times New Roman;serif" w:hAnsi="Times New Roman;serif"/>
          <w:b w:val="false"/>
          <w:i/>
          <w:color w:val="000000"/>
          <w:sz w:val="24"/>
        </w:rPr>
        <w:t>[Remainder of Page Intentionally Left Blank]</w:t>
      </w:r>
    </w:p>
    <w:p>
      <w:pPr>
        <w:pStyle w:val="TextBody"/>
        <w:bidi w:val="0"/>
        <w:spacing w:before="0" w:after="240"/>
        <w:ind w:left="0" w:right="0" w:firstLine="720"/>
        <w:jc w:val="center"/>
        <w:rPr/>
      </w:pPr>
      <w:r>
        <w:rPr/>
      </w:r>
    </w:p>
    <w:p>
      <w:pPr>
        <w:pStyle w:val="TextBody"/>
        <w:bidi w:val="0"/>
        <w:spacing w:before="0" w:after="240"/>
        <w:ind w:left="0" w:right="0" w:firstLine="720"/>
        <w:jc w:val="center"/>
        <w:rPr/>
      </w:pPr>
      <w:r>
        <w:rPr/>
      </w:r>
    </w:p>
    <w:p>
      <w:pPr>
        <w:pStyle w:val="TextBody"/>
        <w:bidi w:val="0"/>
        <w:spacing w:before="0" w:after="240"/>
        <w:ind w:left="0" w:right="0" w:firstLine="72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3"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color w:val="000000"/>
          <w:sz w:val="24"/>
        </w:rPr>
        <w:t>IN WITNESS WHEREOF</w:t>
      </w:r>
      <w:r>
        <w:rPr>
          <w:rFonts w:ascii="Times New Roman;serif" w:hAnsi="Times New Roman;serif"/>
          <w:b w:val="false"/>
          <w:color w:val="000000"/>
          <w:sz w:val="24"/>
        </w:rPr>
        <w:t>, the undersigned has executed this certificate on behalf of the Company as of the date first written above.</w:t>
      </w:r>
    </w:p>
    <w:p>
      <w:pPr>
        <w:pStyle w:val="TextBody"/>
        <w:bidi w:val="0"/>
        <w:spacing w:before="0" w:after="240"/>
        <w:ind w:left="0" w:right="0" w:firstLine="720"/>
        <w:jc w:val="both"/>
        <w:rPr/>
      </w:pPr>
      <w:r>
        <w:rPr/>
      </w:r>
    </w:p>
    <w:tbl>
      <w:tblPr>
        <w:tblW w:w="1571" w:type="dxa"/>
        <w:jc w:val="right"/>
        <w:tblInd w:w="0" w:type="dxa"/>
        <w:tblLayout w:type="fixed"/>
        <w:tblCellMar>
          <w:top w:w="28" w:type="dxa"/>
          <w:left w:w="28" w:type="dxa"/>
          <w:bottom w:w="28" w:type="dxa"/>
          <w:right w:w="28" w:type="dxa"/>
        </w:tblCellMar>
      </w:tblPr>
      <w:tblGrid>
        <w:gridCol w:w="168"/>
        <w:gridCol w:w="148"/>
        <w:gridCol w:w="149"/>
        <w:gridCol w:w="244"/>
        <w:gridCol w:w="244"/>
        <w:gridCol w:w="246"/>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4.4</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4"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NAUTILUS BIOTECHNOLOGY, INC.</w:t>
      </w:r>
    </w:p>
    <w:p>
      <w:pPr>
        <w:pStyle w:val="TextBody"/>
        <w:bidi w:val="0"/>
        <w:spacing w:lineRule="auto" w:line="288" w:before="0" w:after="480"/>
        <w:jc w:val="center"/>
        <w:rPr>
          <w:rFonts w:ascii="Times New Roman;serif" w:hAnsi="Times New Roman;serif"/>
          <w:b w:val="false"/>
          <w:color w:val="000000"/>
          <w:sz w:val="22"/>
        </w:rPr>
      </w:pPr>
      <w:r>
        <w:rPr>
          <w:rFonts w:ascii="Times New Roman;serif" w:hAnsi="Times New Roman;serif"/>
          <w:b w:val="false"/>
          <w:color w:val="000000"/>
          <w:sz w:val="22"/>
        </w:rPr>
        <w:t>______________</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INDENTURE</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Dated as of           , 20  </w:t>
      </w:r>
    </w:p>
    <w:p>
      <w:pPr>
        <w:pStyle w:val="TextBody"/>
        <w:bidi w:val="0"/>
        <w:spacing w:lineRule="auto" w:line="288" w:before="0" w:after="480"/>
        <w:jc w:val="center"/>
        <w:rPr>
          <w:rFonts w:ascii="Times New Roman;serif" w:hAnsi="Times New Roman;serif"/>
          <w:b w:val="false"/>
          <w:color w:val="000000"/>
          <w:sz w:val="22"/>
        </w:rPr>
      </w:pPr>
      <w:r>
        <w:rPr>
          <w:rFonts w:ascii="Times New Roman;serif" w:hAnsi="Times New Roman;serif"/>
          <w:b w:val="false"/>
          <w:color w:val="000000"/>
          <w:sz w:val="22"/>
        </w:rPr>
        <w:t>______________</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[__________]</w:t>
      </w:r>
    </w:p>
    <w:p>
      <w:pPr>
        <w:pStyle w:val="TextBody"/>
        <w:bidi w:val="0"/>
        <w:spacing w:lineRule="auto" w:line="288" w:before="0" w:after="1440"/>
        <w:jc w:val="center"/>
        <w:rPr>
          <w:rFonts w:ascii="Times New Roman;serif" w:hAnsi="Times New Roman;serif"/>
          <w:b w:val="false"/>
          <w:color w:val="000000"/>
          <w:sz w:val="22"/>
        </w:rPr>
      </w:pPr>
      <w:r>
        <w:rPr>
          <w:rFonts w:ascii="Times New Roman;serif" w:hAnsi="Times New Roman;serif"/>
          <w:b w:val="false"/>
          <w:color w:val="000000"/>
          <w:sz w:val="22"/>
        </w:rPr>
        <w:t>Trustee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5"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632"/>
        <w:gridCol w:w="555"/>
        <w:gridCol w:w="555"/>
        <w:gridCol w:w="590"/>
        <w:gridCol w:w="555"/>
        <w:gridCol w:w="555"/>
        <w:gridCol w:w="555"/>
        <w:gridCol w:w="555"/>
        <w:gridCol w:w="555"/>
        <w:gridCol w:w="1497"/>
        <w:gridCol w:w="1480"/>
        <w:gridCol w:w="1486"/>
        <w:gridCol w:w="184"/>
        <w:gridCol w:w="184"/>
        <w:gridCol w:w="267"/>
      </w:tblGrid>
      <w:tr>
        <w:trPr/>
        <w:tc>
          <w:tcPr>
            <w:tcW w:w="63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Page</w:t>
            </w:r>
          </w:p>
        </w:tc>
      </w:tr>
      <w:tr>
        <w:trPr/>
        <w:tc>
          <w:tcPr>
            <w:tcW w:w="957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 DEFINITIONS AND INCORPORATION BY REFERENCE</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Definitions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Other Definitions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Incorporation by Reference of Trust Indenture Act</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Rules of Construction</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 THE SECURITIES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Issuable in Series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2.2</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Establishment of Terms of Series of Securities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2.3</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Execution and Authentication</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8</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2.4</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Registrar and Paying Agent</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8</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2.5</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Paying Agent to Hold Money in Trust</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9</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2.6</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Securityholder Lists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9</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2.7</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Transfer and Exchange</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2.8</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Mutilated, Destroyed, Lost and Stolen Securities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2.9</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Outstanding Securities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2.10</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Treasury Securities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2.11</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Temporary Securities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2.12</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Cancellation</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2.13</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Defaulted Interest</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2.14</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Global Securities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2.15</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CUSIP Numbers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III REDEMPTION</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Notice to Trustee</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3.2</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Selection of Securities to be Redeemed</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3.3</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Notice of Redemption</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3.4</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Effect of Notice of Redemption</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3.5</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Deposit of Redemption Price</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3.6</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Securities Redeemed in Part</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IV COVENANTS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4.1</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Payment of Principal and Interest</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4.2</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 Reports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4.3</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Compliance Certificate</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4.4</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Stay, Extension and Usury Laws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 SUCCESSORS</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w:t>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When Company May Merge, Etc</w:t>
            </w:r>
          </w:p>
        </w:tc>
        <w:tc>
          <w:tcPr>
            <w:tcW w:w="6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17</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6"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(Continued)</w:t>
      </w:r>
    </w:p>
    <w:tbl>
      <w:tblPr>
        <w:tblW w:w="10205" w:type="dxa"/>
        <w:jc w:val="left"/>
        <w:tblInd w:w="0" w:type="dxa"/>
        <w:tblLayout w:type="fixed"/>
        <w:tblCellMar>
          <w:top w:w="28" w:type="dxa"/>
          <w:left w:w="28" w:type="dxa"/>
          <w:bottom w:w="28" w:type="dxa"/>
          <w:right w:w="28" w:type="dxa"/>
        </w:tblCellMar>
      </w:tblPr>
      <w:tblGrid>
        <w:gridCol w:w="562"/>
        <w:gridCol w:w="494"/>
        <w:gridCol w:w="494"/>
        <w:gridCol w:w="569"/>
        <w:gridCol w:w="494"/>
        <w:gridCol w:w="494"/>
        <w:gridCol w:w="494"/>
        <w:gridCol w:w="494"/>
        <w:gridCol w:w="494"/>
        <w:gridCol w:w="1729"/>
        <w:gridCol w:w="1630"/>
        <w:gridCol w:w="1618"/>
        <w:gridCol w:w="184"/>
        <w:gridCol w:w="184"/>
        <w:gridCol w:w="271"/>
      </w:tblGrid>
      <w:tr>
        <w:trPr/>
        <w:tc>
          <w:tcPr>
            <w:tcW w:w="56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Page</w:t>
            </w:r>
          </w:p>
        </w:tc>
      </w:tr>
      <w:tr>
        <w:trPr/>
        <w:tc>
          <w:tcPr>
            <w:tcW w:w="9566"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 DEFINITIONS AND INCORPORATION BY REFERENCE</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5.2</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Successor Corporation Substituted</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18</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6"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 DEFAULTS AND REMEDIES</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18</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Events of Default</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18</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6.2</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Acceleration of Maturity; Rescission and Annulment</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19</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6.3</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Collection of Indebtedness and Suits for Enforcement by Trustee</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6.4</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Trustee May File Proofs of Claim</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6.5</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Trustee May Enforce Claims Without Possession of Securities</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6.6</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Application of Money Collected</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6.7</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Limitation on Suits</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22</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6.8</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Unconditional Right of Holders to Receive Principal and Interest</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22</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6.9</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Restoration of Rights and Remedies</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22</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6.10</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Rights and Remedies Cumulative</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6.11</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Delay or Omission Not Waiver</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6.12</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Control by Holders</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6.13</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Waiver of Past Defaults</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6.14</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Undertaking for Costs</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6"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VII TRUSTEE</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7.1</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Duties of Trustee</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7.2</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Rights of Trustee</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25</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7.3</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Individual Rights of Trustee</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7.4</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Trustee’s Disclaimer</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27</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7.5</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Notice of Defaults</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27</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7.6</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Reports by Trustee to Holders</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27</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7.7</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Compensation and Indemnity</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27</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7.8</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Replacement of Trustee</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28</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7.9</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Successor Trustee by Merger, Etc</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29</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7.10</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Eligibility; Disqualification</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29</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7.11</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Preferential Collection of Claims Against Company</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29</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6"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VIII SATISFACTION AND DISCHARGE; DEFEASANCE</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29</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8.1</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Satisfaction and Discharge of Indenture</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29</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8.2</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Application of Trust Funds; Indemnification</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30</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8.3</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Legal Defeasance of Securities of any Series</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31</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8.4</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Covenant Defeasance</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32</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8.5</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Repayment to Company</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33</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8.6</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Reinstatement</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33</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6"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IX AMENDMENTS AND WAIVERS</w:t>
            </w:r>
          </w:p>
        </w:tc>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34</w:t>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7"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(Continued)</w:t>
      </w:r>
    </w:p>
    <w:tbl>
      <w:tblPr>
        <w:tblW w:w="10205" w:type="dxa"/>
        <w:jc w:val="left"/>
        <w:tblInd w:w="0" w:type="dxa"/>
        <w:tblLayout w:type="fixed"/>
        <w:tblCellMar>
          <w:top w:w="28" w:type="dxa"/>
          <w:left w:w="28" w:type="dxa"/>
          <w:bottom w:w="28" w:type="dxa"/>
          <w:right w:w="28" w:type="dxa"/>
        </w:tblCellMar>
      </w:tblPr>
      <w:tblGrid>
        <w:gridCol w:w="573"/>
        <w:gridCol w:w="503"/>
        <w:gridCol w:w="503"/>
        <w:gridCol w:w="572"/>
        <w:gridCol w:w="503"/>
        <w:gridCol w:w="503"/>
        <w:gridCol w:w="503"/>
        <w:gridCol w:w="503"/>
        <w:gridCol w:w="503"/>
        <w:gridCol w:w="1778"/>
        <w:gridCol w:w="1535"/>
        <w:gridCol w:w="1586"/>
        <w:gridCol w:w="184"/>
        <w:gridCol w:w="184"/>
        <w:gridCol w:w="272"/>
      </w:tblGrid>
      <w:tr>
        <w:trPr/>
        <w:tc>
          <w:tcPr>
            <w:tcW w:w="57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Page</w:t>
            </w:r>
          </w:p>
        </w:tc>
      </w:tr>
      <w:tr>
        <w:trPr/>
        <w:tc>
          <w:tcPr>
            <w:tcW w:w="956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 DEFINITIONS AND INCORPORATION BY REFERENCE</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9.1</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Without Consent of Holders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34</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9.2</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With Consent of Holders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35</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9.3</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Limitations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35</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9.4</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Compliance with Trust Indenture Act</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36</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9.5</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Revocation and Effect of Consents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36</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9.6</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Notation on or Exchange of Securities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36</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9.7</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Trustee Protected</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37</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 MISCELLANEOUS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37</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Trust Indenture Act Controls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37</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10.2</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Notices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37</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10.3</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Communication by Holders with Other Holders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38</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10.4</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Certificate and Opinion as to Conditions Precedent</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38</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10.5</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Statements Required in Certificate or Opinion</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38</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10.6</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Rules by Trustee and Agents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10.7</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Legal Holidays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10.8</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No Recourse Against Others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10.9</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Counterparts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10.10</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Governing Law; Waiver of Jury Trial; Consent to Jurisdiction</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10.11</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No Adverse Interpretation of Other Agreements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40</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10.12</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Successors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40</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10.13</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Severability</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40</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10.14</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Table of Contents, Headings, Etc</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40</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10.15</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Securities in a Foreign Currency</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40</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10.16</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Judgment Currency</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10.17</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Force Majeure</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10.18</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U.S.A. Patriot Act</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XI SINKING FUNDS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11.1</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Applicability of Article</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11.2</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Satisfaction of Sinking Fund Payments with Securities</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11.3</w:t>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Redemption of Securities for Sinking Fund</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8"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NAUTILUS BIOTECHNOLOGY, INC.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Reconciliation and tie between Trust Indenture Act of 1939 and Indenture, dated as of     , 20</w:t>
      </w:r>
    </w:p>
    <w:tbl>
      <w:tblPr>
        <w:tblW w:w="3087" w:type="dxa"/>
        <w:jc w:val="left"/>
        <w:tblInd w:w="0" w:type="dxa"/>
        <w:tblLayout w:type="fixed"/>
        <w:tblCellMar>
          <w:top w:w="28" w:type="dxa"/>
          <w:left w:w="28" w:type="dxa"/>
          <w:bottom w:w="28" w:type="dxa"/>
          <w:right w:w="28" w:type="dxa"/>
        </w:tblCellMar>
      </w:tblPr>
      <w:tblGrid>
        <w:gridCol w:w="428"/>
        <w:gridCol w:w="377"/>
        <w:gridCol w:w="380"/>
        <w:gridCol w:w="109"/>
        <w:gridCol w:w="109"/>
        <w:gridCol w:w="109"/>
        <w:gridCol w:w="460"/>
        <w:gridCol w:w="460"/>
        <w:gridCol w:w="655"/>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 310(a)(1)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7.10</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7.10</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(a)(5)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7.10</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7.10</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 311(a)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7.11</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7.11</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 312(a)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2.6</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10.3</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10.3</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 313(a)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(b)(1)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(b)(2)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(c)(1)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 314(a)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4.2, 10.5</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(c)(1)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(c)(2)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(c)(3)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10.5</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 315(a)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7.1</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7.1</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7.1</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6.14</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 316(a)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2.10</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(a)(1)(A)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6.12</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(a)(1)(B)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6.13</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6.8</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 317(a)(1)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6.3</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6.4</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2.5</w:t>
            </w:r>
          </w:p>
        </w:tc>
      </w:tr>
      <w:tr>
        <w:trPr/>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 318(a)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Note: This reconciliation and tie shall not, for any purpose, be deemed to be part of the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09"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lineRule="auto" w:line="288" w:before="0" w:after="240"/>
        <w:ind w:left="0" w:right="0" w:firstLine="990"/>
        <w:jc w:val="both"/>
        <w:rPr/>
      </w:pPr>
      <w:r>
        <w:rPr>
          <w:rFonts w:ascii="Times New Roman;serif" w:hAnsi="Times New Roman;serif"/>
          <w:b w:val="false"/>
          <w:color w:val="000000"/>
          <w:sz w:val="22"/>
        </w:rPr>
        <w:t>Indenture dated as of    , 20    between Nautilus Biotechnology, Inc., a company incorporated under the laws of Delaware (the “</w:t>
      </w:r>
      <w:r>
        <w:rPr>
          <w:rFonts w:ascii="Times New Roman;serif" w:hAnsi="Times New Roman;serif"/>
          <w:b w:val="false"/>
          <w:i/>
          <w:color w:val="000000"/>
          <w:sz w:val="22"/>
        </w:rPr>
        <w:t>Company</w:t>
      </w:r>
      <w:r>
        <w:rPr>
          <w:color w:val="000000"/>
        </w:rPr>
        <w:t>”</w:t>
      </w:r>
      <w:r>
        <w:rPr>
          <w:rFonts w:ascii="Times New Roman;serif" w:hAnsi="Times New Roman;serif"/>
          <w:b w:val="false"/>
          <w:color w:val="000000"/>
          <w:sz w:val="22"/>
        </w:rPr>
        <w:t>), and [__________], a national banking association organized under the laws of the United States, as trustee (the “</w:t>
      </w:r>
      <w:r>
        <w:rPr>
          <w:rFonts w:ascii="Times New Roman;serif" w:hAnsi="Times New Roman;serif"/>
          <w:b w:val="false"/>
          <w:i/>
          <w:color w:val="000000"/>
          <w:sz w:val="22"/>
        </w:rPr>
        <w:t>Trustee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Each party agrees as follows for the benefit of the other party and for the equal and ratable benefit of the Holders of the Securities issued under this Indenture.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ARTICLE I</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DEFINITIONS AND INCORPORATION BY REFERENCE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1.1    </w:t>
      </w:r>
      <w:r>
        <w:rPr>
          <w:rFonts w:ascii="Times New Roman;serif" w:hAnsi="Times New Roman;serif"/>
          <w:b w:val="false"/>
          <w:color w:val="000000"/>
          <w:sz w:val="22"/>
          <w:u w:val="single"/>
        </w:rPr>
        <w:t>Definitions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Additional Amounts</w:t>
      </w:r>
      <w:r>
        <w:rPr>
          <w:color w:val="000000"/>
        </w:rPr>
        <w:t xml:space="preserve">” </w:t>
      </w:r>
      <w:r>
        <w:rPr>
          <w:rFonts w:ascii="Times New Roman;serif" w:hAnsi="Times New Roman;serif"/>
          <w:b w:val="false"/>
          <w:color w:val="000000"/>
          <w:sz w:val="22"/>
        </w:rPr>
        <w:t>means any additional amounts which are required hereby or by any Security, under circumstances specified herein or therein, to be paid by the Company in respect of certain taxes imposed on Holders specified herein or therein and which are owing to such Holders.</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Affiliate</w:t>
      </w:r>
      <w:r>
        <w:rPr>
          <w:color w:val="000000"/>
        </w:rPr>
        <w:t xml:space="preserve">” </w:t>
      </w:r>
      <w:r>
        <w:rPr>
          <w:rFonts w:ascii="Times New Roman;serif" w:hAnsi="Times New Roman;serif"/>
          <w:b w:val="false"/>
          <w:color w:val="000000"/>
          <w:sz w:val="22"/>
        </w:rPr>
        <w:t>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Agent</w:t>
      </w:r>
      <w:r>
        <w:rPr>
          <w:color w:val="000000"/>
        </w:rPr>
        <w:t xml:space="preserve">” </w:t>
      </w:r>
      <w:r>
        <w:rPr>
          <w:rFonts w:ascii="Times New Roman;serif" w:hAnsi="Times New Roman;serif"/>
          <w:b w:val="false"/>
          <w:color w:val="000000"/>
          <w:sz w:val="22"/>
        </w:rPr>
        <w:t>means any Registrar, Paying Agent or Notice Agent.</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Board of Directors</w:t>
      </w:r>
      <w:r>
        <w:rPr>
          <w:color w:val="000000"/>
        </w:rPr>
        <w:t xml:space="preserve">” </w:t>
      </w:r>
      <w:r>
        <w:rPr>
          <w:rFonts w:ascii="Times New Roman;serif" w:hAnsi="Times New Roman;serif"/>
          <w:b w:val="false"/>
          <w:color w:val="000000"/>
          <w:sz w:val="22"/>
        </w:rPr>
        <w:t>means the board of directors of the Company or any duly authorized committee thereof.</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Board Resolution</w:t>
      </w:r>
      <w:r>
        <w:rPr>
          <w:color w:val="000000"/>
        </w:rPr>
        <w:t xml:space="preserve">” </w:t>
      </w:r>
      <w:r>
        <w:rPr>
          <w:rFonts w:ascii="Times New Roman;serif" w:hAnsi="Times New Roman;serif"/>
          <w:b w:val="false"/>
          <w:color w:val="000000"/>
          <w:sz w:val="22"/>
        </w:rPr>
        <w:t>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Business Day</w:t>
      </w:r>
      <w:r>
        <w:rPr>
          <w:color w:val="000000"/>
        </w:rPr>
        <w:t xml:space="preserve">” </w:t>
      </w:r>
      <w:r>
        <w:rPr>
          <w:rFonts w:ascii="Times New Roman;serif" w:hAnsi="Times New Roman;serif"/>
          <w:b w:val="false"/>
          <w:color w:val="000000"/>
          <w:sz w:val="22"/>
        </w:rPr>
        <w:t>means, any day except a Saturday, Sunday or a Legal Holiday in The City of New York, New York (or in connection with any payment, the place of payment) on which banking institutions are authorized or required by law, regulation or executive order to close.</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Capital Stock</w:t>
      </w:r>
      <w:r>
        <w:rPr>
          <w:color w:val="000000"/>
        </w:rPr>
        <w:t xml:space="preserve">” </w:t>
      </w:r>
      <w:r>
        <w:rPr>
          <w:rFonts w:ascii="Times New Roman;serif" w:hAnsi="Times New Roman;serif"/>
          <w:b w:val="false"/>
          <w:color w:val="000000"/>
          <w:sz w:val="22"/>
        </w:rPr>
        <w:t>means any and all shares, interests, participations, rights or other equivalents (however designated) of corporate stock.</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Common Stock</w:t>
      </w:r>
      <w:r>
        <w:rPr>
          <w:color w:val="000000"/>
        </w:rPr>
        <w:t xml:space="preserve">” </w:t>
      </w:r>
      <w:r>
        <w:rPr>
          <w:rFonts w:ascii="Times New Roman;serif" w:hAnsi="Times New Roman;serif"/>
          <w:b w:val="false"/>
          <w:color w:val="000000"/>
          <w:sz w:val="22"/>
        </w:rPr>
        <w:t>means the common stock, par value $0.0001 per share, of the Company.</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Company</w:t>
      </w:r>
      <w:r>
        <w:rPr>
          <w:color w:val="000000"/>
        </w:rPr>
        <w:t xml:space="preserve">” </w:t>
      </w:r>
      <w:r>
        <w:rPr>
          <w:rFonts w:ascii="Times New Roman;serif" w:hAnsi="Times New Roman;serif"/>
          <w:b w:val="false"/>
          <w:color w:val="000000"/>
          <w:sz w:val="22"/>
        </w:rPr>
        <w:t>means the party named as such above until a successor replaces it and thereafter means the successor.</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Company Order</w:t>
      </w:r>
      <w:r>
        <w:rPr>
          <w:color w:val="000000"/>
        </w:rPr>
        <w:t xml:space="preserve">” </w:t>
      </w:r>
      <w:r>
        <w:rPr>
          <w:rFonts w:ascii="Times New Roman;serif" w:hAnsi="Times New Roman;serif"/>
          <w:b w:val="false"/>
          <w:color w:val="000000"/>
          <w:sz w:val="22"/>
        </w:rPr>
        <w:t>means a written order signed in the name of the Company by an Officer.</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Corporate Trust Office</w:t>
      </w:r>
      <w:r>
        <w:rPr>
          <w:color w:val="000000"/>
        </w:rPr>
        <w:t>” </w:t>
      </w:r>
      <w:r>
        <w:rPr>
          <w:rFonts w:ascii="Times New Roman;serif" w:hAnsi="Times New Roman;serif"/>
          <w:b w:val="false"/>
          <w:color w:val="000000"/>
          <w:sz w:val="22"/>
        </w:rPr>
        <w:t xml:space="preserve">means the principal office of the Trustee at which at any time this Indenture shall be administered, which office as of the date hereof is located at the address specified in Section 10.2. With respect to presentation for transfer or exchange, conversions or principal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0"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Default</w:t>
      </w:r>
      <w:r>
        <w:rPr>
          <w:color w:val="000000"/>
        </w:rPr>
        <w:t xml:space="preserve">” </w:t>
      </w:r>
      <w:r>
        <w:rPr>
          <w:rFonts w:ascii="Times New Roman;serif" w:hAnsi="Times New Roman;serif"/>
          <w:b w:val="false"/>
          <w:color w:val="000000"/>
          <w:sz w:val="22"/>
        </w:rPr>
        <w:t>means any event which is, or after notice or passage of time or both would be, an Event of Default.</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Depositary</w:t>
      </w:r>
      <w:r>
        <w:rPr>
          <w:color w:val="000000"/>
        </w:rPr>
        <w:t xml:space="preserve">” </w:t>
      </w:r>
      <w:r>
        <w:rPr>
          <w:rFonts w:ascii="Times New Roman;serif" w:hAnsi="Times New Roman;serif"/>
          <w:b w:val="false"/>
          <w:color w:val="000000"/>
          <w:sz w:val="22"/>
        </w:rPr>
        <w:t>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Discount Security</w:t>
      </w:r>
      <w:r>
        <w:rPr>
          <w:color w:val="000000"/>
        </w:rPr>
        <w:t xml:space="preserve">” </w:t>
      </w:r>
      <w:r>
        <w:rPr>
          <w:rFonts w:ascii="Times New Roman;serif" w:hAnsi="Times New Roman;serif"/>
          <w:b w:val="false"/>
          <w:color w:val="000000"/>
          <w:sz w:val="22"/>
        </w:rPr>
        <w:t>means any Security that provides for an amount less than the stated principal amount thereof to be due and payable upon declaration of acceleration of the maturity thereof pursuant to Section 6.2.</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Dollars</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means the currency of The United States of America.</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Exchange Act</w:t>
      </w:r>
      <w:r>
        <w:rPr>
          <w:color w:val="000000"/>
        </w:rPr>
        <w:t xml:space="preserve">” </w:t>
      </w:r>
      <w:r>
        <w:rPr>
          <w:rFonts w:ascii="Times New Roman;serif" w:hAnsi="Times New Roman;serif"/>
          <w:b w:val="false"/>
          <w:color w:val="000000"/>
          <w:sz w:val="22"/>
        </w:rPr>
        <w:t>means the Securities Exchange Act of 1934, as amended.</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Foreign Currency</w:t>
      </w:r>
      <w:r>
        <w:rPr>
          <w:color w:val="000000"/>
        </w:rPr>
        <w:t xml:space="preserve">” </w:t>
      </w:r>
      <w:r>
        <w:rPr>
          <w:rFonts w:ascii="Times New Roman;serif" w:hAnsi="Times New Roman;serif"/>
          <w:b w:val="false"/>
          <w:color w:val="000000"/>
          <w:sz w:val="22"/>
        </w:rPr>
        <w:t>means any currency or currency unit issued by a government other than the government of The United States of America.</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Foreign Government Obligations</w:t>
      </w:r>
      <w:r>
        <w:rPr>
          <w:color w:val="000000"/>
        </w:rPr>
        <w:t xml:space="preserve">” </w:t>
      </w:r>
      <w:r>
        <w:rPr>
          <w:rFonts w:ascii="Times New Roman;serif" w:hAnsi="Times New Roman;serif"/>
          <w:b w:val="false"/>
          <w:color w:val="000000"/>
          <w:sz w:val="22"/>
        </w:rPr>
        <w:t>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GAAP”</w:t>
      </w:r>
      <w:r>
        <w:rPr>
          <w:color w:val="000000"/>
        </w:rPr>
        <w:t xml:space="preserve"> </w:t>
      </w:r>
      <w:r>
        <w:rPr>
          <w:rFonts w:ascii="Times New Roman;serif" w:hAnsi="Times New Roman;serif"/>
          <w:b w:val="false"/>
          <w:color w:val="000000"/>
          <w:sz w:val="22"/>
        </w:rPr>
        <w:t>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Global Security</w:t>
      </w:r>
      <w:r>
        <w:rPr>
          <w:color w:val="000000"/>
        </w:rPr>
        <w:t xml:space="preserve">” </w:t>
      </w:r>
      <w:r>
        <w:rPr>
          <w:rFonts w:ascii="Times New Roman;serif" w:hAnsi="Times New Roman;serif"/>
          <w:b w:val="false"/>
          <w:color w:val="000000"/>
          <w:sz w:val="22"/>
        </w:rPr>
        <w:t>or “</w:t>
      </w:r>
      <w:r>
        <w:rPr>
          <w:rFonts w:ascii="Times New Roman;serif" w:hAnsi="Times New Roman;serif"/>
          <w:b w:val="false"/>
          <w:i/>
          <w:color w:val="000000"/>
          <w:sz w:val="22"/>
        </w:rPr>
        <w:t>Global Securities</w:t>
      </w:r>
      <w:r>
        <w:rPr>
          <w:color w:val="000000"/>
        </w:rPr>
        <w:t xml:space="preserve">” </w:t>
      </w:r>
      <w:r>
        <w:rPr>
          <w:rFonts w:ascii="Times New Roman;serif" w:hAnsi="Times New Roman;serif"/>
          <w:b w:val="false"/>
          <w:color w:val="000000"/>
          <w:sz w:val="22"/>
        </w:rPr>
        <w:t>means a Security or Securities, as the case may be, in the form established pursuant to Section 2.2 evidencing all or part of a Series of Securities, issued to the Depositary for such Series or its nominee, and registered in the name of such Depositary or nominee.</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Holder</w:t>
      </w:r>
      <w:r>
        <w:rPr>
          <w:color w:val="000000"/>
        </w:rPr>
        <w:t xml:space="preserve">” </w:t>
      </w:r>
      <w:r>
        <w:rPr>
          <w:rFonts w:ascii="Times New Roman;serif" w:hAnsi="Times New Roman;serif"/>
          <w:b w:val="false"/>
          <w:color w:val="000000"/>
          <w:sz w:val="22"/>
        </w:rPr>
        <w:t>or “</w:t>
      </w:r>
      <w:r>
        <w:rPr>
          <w:rFonts w:ascii="Times New Roman;serif" w:hAnsi="Times New Roman;serif"/>
          <w:b w:val="false"/>
          <w:i/>
          <w:color w:val="000000"/>
          <w:sz w:val="22"/>
        </w:rPr>
        <w:t>Securityholder</w:t>
      </w:r>
      <w:r>
        <w:rPr>
          <w:color w:val="000000"/>
        </w:rPr>
        <w:t xml:space="preserve">” </w:t>
      </w:r>
      <w:r>
        <w:rPr>
          <w:rFonts w:ascii="Times New Roman;serif" w:hAnsi="Times New Roman;serif"/>
          <w:b w:val="false"/>
          <w:color w:val="000000"/>
          <w:sz w:val="22"/>
        </w:rPr>
        <w:t>means a person in whose name a Security is registered on the books of the Registrar.</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Indenture</w:t>
      </w:r>
      <w:r>
        <w:rPr>
          <w:color w:val="000000"/>
        </w:rPr>
        <w:t xml:space="preserve">” </w:t>
      </w:r>
      <w:r>
        <w:rPr>
          <w:rFonts w:ascii="Times New Roman;serif" w:hAnsi="Times New Roman;serif"/>
          <w:b w:val="false"/>
          <w:color w:val="000000"/>
          <w:sz w:val="22"/>
        </w:rPr>
        <w:t>means this Indenture as amended or supplemented from time to time and shall include the form and terms of particular Series of Securities established as contemplated hereunder.</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interest</w:t>
      </w:r>
      <w:r>
        <w:rPr>
          <w:color w:val="000000"/>
        </w:rPr>
        <w:t xml:space="preserve">” </w:t>
      </w:r>
      <w:r>
        <w:rPr>
          <w:rFonts w:ascii="Times New Roman;serif" w:hAnsi="Times New Roman;serif"/>
          <w:b w:val="false"/>
          <w:color w:val="000000"/>
          <w:sz w:val="22"/>
        </w:rPr>
        <w:t>with respect to any Discount Security which by its terms bears interest only after Maturity, means interest payable after Maturity.</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1"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Maturity</w:t>
      </w:r>
      <w:r>
        <w:rPr>
          <w:rFonts w:ascii="Times New Roman;serif" w:hAnsi="Times New Roman;serif"/>
          <w:b w:val="false"/>
          <w:color w:val="000000"/>
          <w:sz w:val="22"/>
        </w:rPr>
        <w:t>,” when used with respect to any Security, means the date on which the principal of such Security becomes due and payable as therein or herein provided, whether at the Stated Maturity or by declaration of acceleration, call for redemption or otherwise.</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Officer</w:t>
      </w:r>
      <w:r>
        <w:rPr>
          <w:color w:val="000000"/>
        </w:rPr>
        <w:t xml:space="preserve">” </w:t>
      </w:r>
      <w:r>
        <w:rPr>
          <w:rFonts w:ascii="Times New Roman;serif" w:hAnsi="Times New Roman;serif"/>
          <w:b w:val="false"/>
          <w:color w:val="000000"/>
          <w:sz w:val="22"/>
        </w:rPr>
        <w:t>means the Chief Executive Officer, President, the Chief Financial Officer, the Treasurer or any Assistant Treasurer, the Secretary or any Assistant Secretary, and any Vice President of the Company.</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Officer’s Certificate</w:t>
      </w:r>
      <w:r>
        <w:rPr>
          <w:color w:val="000000"/>
        </w:rPr>
        <w:t xml:space="preserve">” </w:t>
      </w:r>
      <w:r>
        <w:rPr>
          <w:rFonts w:ascii="Times New Roman;serif" w:hAnsi="Times New Roman;serif"/>
          <w:b w:val="false"/>
          <w:color w:val="000000"/>
          <w:sz w:val="22"/>
        </w:rPr>
        <w:t>means a certificate signed by any Officer that meets the requirements of Section 10.5.</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Opinion of Counsel</w:t>
      </w:r>
      <w:r>
        <w:rPr>
          <w:color w:val="000000"/>
        </w:rPr>
        <w:t xml:space="preserve">” </w:t>
      </w:r>
      <w:r>
        <w:rPr>
          <w:rFonts w:ascii="Times New Roman;serif" w:hAnsi="Times New Roman;serif"/>
          <w:b w:val="false"/>
          <w:color w:val="000000"/>
          <w:sz w:val="22"/>
        </w:rPr>
        <w:t>means a written opinion of legal counsel who is acceptable to the Trustee. The opinion may contain customary limitations, qualifications, conditions and exceptions. The counsel may be an employee of or counsel to the Company.</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person</w:t>
      </w:r>
      <w:r>
        <w:rPr>
          <w:color w:val="000000"/>
        </w:rPr>
        <w:t xml:space="preserve">” </w:t>
      </w:r>
      <w:r>
        <w:rPr>
          <w:rFonts w:ascii="Times New Roman;serif" w:hAnsi="Times New Roman;serif"/>
          <w:b w:val="false"/>
          <w:color w:val="000000"/>
          <w:sz w:val="22"/>
        </w:rPr>
        <w:t>means any individual, corporation, partnership, joint venture, association, limited liability company, joint-stock company, trust, unincorporated organization or government or any agency or political subdivision thereof.</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principal</w:t>
      </w:r>
      <w:r>
        <w:rPr>
          <w:color w:val="000000"/>
        </w:rPr>
        <w:t xml:space="preserve">” </w:t>
      </w:r>
      <w:r>
        <w:rPr>
          <w:rFonts w:ascii="Times New Roman;serif" w:hAnsi="Times New Roman;serif"/>
          <w:b w:val="false"/>
          <w:color w:val="000000"/>
          <w:sz w:val="22"/>
        </w:rPr>
        <w:t>of a Security means the principal of the Security plus, when appropriate, the premium, if any, on, and any Additional Amounts in respect of, the Security.</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Responsible Officer</w:t>
      </w:r>
      <w:r>
        <w:rPr>
          <w:color w:val="000000"/>
        </w:rPr>
        <w:t xml:space="preserve">” </w:t>
      </w:r>
      <w:r>
        <w:rPr>
          <w:rFonts w:ascii="Times New Roman;serif" w:hAnsi="Times New Roman;serif"/>
          <w:b w:val="false"/>
          <w:color w:val="000000"/>
          <w:sz w:val="22"/>
        </w:rPr>
        <w:t>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SEC</w:t>
      </w:r>
      <w:r>
        <w:rPr>
          <w:color w:val="000000"/>
        </w:rPr>
        <w:t xml:space="preserve">” </w:t>
      </w:r>
      <w:r>
        <w:rPr>
          <w:rFonts w:ascii="Times New Roman;serif" w:hAnsi="Times New Roman;serif"/>
          <w:b w:val="false"/>
          <w:color w:val="000000"/>
          <w:sz w:val="22"/>
        </w:rPr>
        <w:t>means the Securities and Exchange Commission.</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Securities</w:t>
      </w:r>
      <w:r>
        <w:rPr>
          <w:color w:val="000000"/>
        </w:rPr>
        <w:t xml:space="preserve">” </w:t>
      </w:r>
      <w:r>
        <w:rPr>
          <w:rFonts w:ascii="Times New Roman;serif" w:hAnsi="Times New Roman;serif"/>
          <w:b w:val="false"/>
          <w:color w:val="000000"/>
          <w:sz w:val="22"/>
        </w:rPr>
        <w:t>means the debentures, notes or other debt instruments of the Company of any Series authenticated and delivered under this Indenture.</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Series</w:t>
      </w:r>
      <w:r>
        <w:rPr>
          <w:color w:val="000000"/>
        </w:rPr>
        <w:t xml:space="preserve">” </w:t>
      </w:r>
      <w:r>
        <w:rPr>
          <w:rFonts w:ascii="Times New Roman;serif" w:hAnsi="Times New Roman;serif"/>
          <w:b w:val="false"/>
          <w:color w:val="000000"/>
          <w:sz w:val="22"/>
        </w:rPr>
        <w:t>or “</w:t>
      </w:r>
      <w:r>
        <w:rPr>
          <w:rFonts w:ascii="Times New Roman;serif" w:hAnsi="Times New Roman;serif"/>
          <w:b w:val="false"/>
          <w:i/>
          <w:color w:val="000000"/>
          <w:sz w:val="22"/>
        </w:rPr>
        <w:t>Series of Securities</w:t>
      </w:r>
      <w:r>
        <w:rPr>
          <w:color w:val="000000"/>
        </w:rPr>
        <w:t xml:space="preserve">” </w:t>
      </w:r>
      <w:r>
        <w:rPr>
          <w:rFonts w:ascii="Times New Roman;serif" w:hAnsi="Times New Roman;serif"/>
          <w:b w:val="false"/>
          <w:color w:val="000000"/>
          <w:sz w:val="22"/>
        </w:rPr>
        <w:t>means each series of debentures, notes or other debt instruments of the Company created pursuant to Sections 2.1 and 2.2 hereof.</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Stated Maturity</w:t>
      </w:r>
      <w:r>
        <w:rPr>
          <w:color w:val="000000"/>
        </w:rPr>
        <w:t xml:space="preserve">” </w:t>
      </w:r>
      <w:r>
        <w:rPr>
          <w:rFonts w:ascii="Times New Roman;serif" w:hAnsi="Times New Roman;serif"/>
          <w:b w:val="false"/>
          <w:color w:val="000000"/>
          <w:sz w:val="22"/>
        </w:rPr>
        <w:t>when used with respect to any Security, means the date specified in such Security as the fixed date on which the principal of such Security or interest is due and payable.</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Subsidiary</w:t>
      </w:r>
      <w:r>
        <w:rPr>
          <w:color w:val="000000"/>
        </w:rPr>
        <w:t xml:space="preserve">” </w:t>
      </w:r>
      <w:r>
        <w:rPr>
          <w:rFonts w:ascii="Times New Roman;serif" w:hAnsi="Times New Roman;serif"/>
          <w:b w:val="false"/>
          <w:color w:val="000000"/>
          <w:sz w:val="22"/>
        </w:rPr>
        <w:t>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TIA</w:t>
      </w:r>
      <w:r>
        <w:rPr>
          <w:color w:val="000000"/>
        </w:rPr>
        <w:t xml:space="preserve">” </w:t>
      </w:r>
      <w:r>
        <w:rPr>
          <w:rFonts w:ascii="Times New Roman;serif" w:hAnsi="Times New Roman;serif"/>
          <w:b w:val="false"/>
          <w:color w:val="000000"/>
          <w:sz w:val="22"/>
        </w:rPr>
        <w:t xml:space="preserve">means the Trust Indenture Act of 1939 (15 U.S. Code §§ 77aaa-77bbbb) as in effect on the date of this Indenture;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in the event the Trust Indenture Act of 1939 is amended after such date, “TIA” means, to the extent required by any such amendment, the Trust Indenture Act as so amended.</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2"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Trustee</w:t>
      </w:r>
      <w:r>
        <w:rPr>
          <w:color w:val="000000"/>
        </w:rPr>
        <w:t xml:space="preserve">” </w:t>
      </w:r>
      <w:r>
        <w:rPr>
          <w:rFonts w:ascii="Times New Roman;serif" w:hAnsi="Times New Roman;serif"/>
          <w:b w:val="false"/>
          <w:color w:val="000000"/>
          <w:sz w:val="22"/>
        </w:rPr>
        <w:t>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U.S. Government Obligations</w:t>
      </w:r>
      <w:r>
        <w:rPr>
          <w:color w:val="000000"/>
        </w:rPr>
        <w:t xml:space="preserve">” </w:t>
      </w:r>
      <w:r>
        <w:rPr>
          <w:rFonts w:ascii="Times New Roman;serif" w:hAnsi="Times New Roman;serif"/>
          <w:b w:val="false"/>
          <w:color w:val="000000"/>
          <w:sz w:val="22"/>
        </w:rPr>
        <w:t xml:space="preserve">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1.2    </w:t>
      </w:r>
      <w:r>
        <w:rPr>
          <w:rFonts w:ascii="Times New Roman;serif" w:hAnsi="Times New Roman;serif"/>
          <w:b w:val="false"/>
          <w:color w:val="000000"/>
          <w:sz w:val="22"/>
          <w:u w:val="single"/>
        </w:rPr>
        <w:t>Other Definitions</w:t>
      </w:r>
      <w:r>
        <w:rPr>
          <w:rFonts w:ascii="Times New Roman;serif" w:hAnsi="Times New Roman;serif"/>
          <w:b w:val="false"/>
          <w:color w:val="000000"/>
          <w:sz w:val="22"/>
        </w:rPr>
        <w:t>.</w:t>
      </w:r>
    </w:p>
    <w:tbl>
      <w:tblPr>
        <w:tblW w:w="6815" w:type="dxa"/>
        <w:jc w:val="left"/>
        <w:tblInd w:w="0" w:type="dxa"/>
        <w:tblLayout w:type="fixed"/>
        <w:tblCellMar>
          <w:top w:w="28" w:type="dxa"/>
          <w:left w:w="28" w:type="dxa"/>
          <w:bottom w:w="28" w:type="dxa"/>
          <w:right w:w="28" w:type="dxa"/>
        </w:tblCellMar>
      </w:tblPr>
      <w:tblGrid>
        <w:gridCol w:w="124"/>
        <w:gridCol w:w="109"/>
        <w:gridCol w:w="109"/>
        <w:gridCol w:w="1131"/>
        <w:gridCol w:w="1131"/>
        <w:gridCol w:w="1143"/>
        <w:gridCol w:w="109"/>
        <w:gridCol w:w="109"/>
        <w:gridCol w:w="109"/>
        <w:gridCol w:w="789"/>
        <w:gridCol w:w="789"/>
        <w:gridCol w:w="7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DEFINED IN SECTION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2"/>
              </w:rPr>
              <w:t>Bankruptcy Law</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2"/>
              </w:rPr>
              <w:t>Custodian</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2"/>
              </w:rPr>
              <w:t>Event of Default</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2"/>
              </w:rPr>
              <w:t>Judgment Currency</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10.16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2"/>
              </w:rPr>
              <w:t>Legal Holiday</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10.7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2"/>
              </w:rPr>
              <w:t>mandatory sinking fund payment</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2"/>
              </w:rPr>
              <w:t>New York Banking Day</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10.16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2"/>
              </w:rPr>
              <w:t>Notice Agent</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2"/>
              </w:rPr>
              <w:t>optional sinking fund payment</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2"/>
              </w:rPr>
              <w:t>Paying Agent</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2"/>
              </w:rPr>
              <w:t>Registrar</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2"/>
              </w:rPr>
              <w:t>Required Currency</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10.16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2"/>
              </w:rPr>
              <w:t>Specified Courts</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10.10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2"/>
              </w:rPr>
              <w:t>successor person</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pPr>
      <w:r>
        <w:rPr>
          <w:rFonts w:ascii="Times New Roman;serif" w:hAnsi="Times New Roman;serif"/>
          <w:b w:val="false"/>
          <w:color w:val="000000"/>
          <w:sz w:val="22"/>
        </w:rPr>
        <w:t>Section 1.3    </w:t>
      </w:r>
      <w:r>
        <w:rPr>
          <w:rFonts w:ascii="Times New Roman;serif" w:hAnsi="Times New Roman;serif"/>
          <w:b w:val="false"/>
          <w:color w:val="000000"/>
          <w:sz w:val="22"/>
          <w:u w:val="single"/>
        </w:rPr>
        <w:t>Incorporation by Reference of Trust Indenture Act</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Whenever this Indenture refers to a provision of the TIA, the provision is incorporated by reference in and made a part of this Indenture. The following TIA terms used in this Indenture have the following meanings: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2"/>
        </w:rPr>
        <w:t>Commission</w:t>
      </w:r>
      <w:r>
        <w:rPr>
          <w:color w:val="000000"/>
        </w:rPr>
        <w:t xml:space="preserve">” </w:t>
      </w:r>
      <w:r>
        <w:rPr>
          <w:rFonts w:ascii="Times New Roman;serif" w:hAnsi="Times New Roman;serif"/>
          <w:b w:val="false"/>
          <w:color w:val="000000"/>
          <w:sz w:val="22"/>
        </w:rPr>
        <w:t>means the SEC.</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2"/>
        </w:rPr>
        <w:t>indenture securities</w:t>
      </w:r>
      <w:r>
        <w:rPr>
          <w:color w:val="000000"/>
        </w:rPr>
        <w:t xml:space="preserve">” </w:t>
      </w:r>
      <w:r>
        <w:rPr>
          <w:rFonts w:ascii="Times New Roman;serif" w:hAnsi="Times New Roman;serif"/>
          <w:b w:val="false"/>
          <w:color w:val="000000"/>
          <w:sz w:val="22"/>
        </w:rPr>
        <w:t>means the Securities.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2"/>
        </w:rPr>
        <w:t>indenture security holder</w:t>
      </w:r>
      <w:r>
        <w:rPr>
          <w:color w:val="000000"/>
        </w:rPr>
        <w:t xml:space="preserve">” </w:t>
      </w:r>
      <w:r>
        <w:rPr>
          <w:rFonts w:ascii="Times New Roman;serif" w:hAnsi="Times New Roman;serif"/>
          <w:b w:val="false"/>
          <w:color w:val="000000"/>
          <w:sz w:val="22"/>
        </w:rPr>
        <w:t>means a Securityholder.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2"/>
        </w:rPr>
        <w:t>indenture to be qualified”</w:t>
      </w:r>
      <w:r>
        <w:rPr>
          <w:color w:val="000000"/>
        </w:rPr>
        <w:t xml:space="preserve"> </w:t>
      </w:r>
      <w:r>
        <w:rPr>
          <w:rFonts w:ascii="Times New Roman;serif" w:hAnsi="Times New Roman;serif"/>
          <w:b w:val="false"/>
          <w:color w:val="000000"/>
          <w:sz w:val="22"/>
        </w:rPr>
        <w:t>means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3"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2"/>
        </w:rPr>
        <w:t>indenture trustee</w:t>
      </w:r>
      <w:r>
        <w:rPr>
          <w:color w:val="000000"/>
        </w:rPr>
        <w:t xml:space="preserve">” </w:t>
      </w:r>
      <w:r>
        <w:rPr>
          <w:rFonts w:ascii="Times New Roman;serif" w:hAnsi="Times New Roman;serif"/>
          <w:b w:val="false"/>
          <w:color w:val="000000"/>
          <w:sz w:val="22"/>
        </w:rPr>
        <w:t>or “</w:t>
      </w:r>
      <w:r>
        <w:rPr>
          <w:rFonts w:ascii="Times New Roman;serif" w:hAnsi="Times New Roman;serif"/>
          <w:b w:val="false"/>
          <w:i/>
          <w:color w:val="000000"/>
          <w:sz w:val="22"/>
        </w:rPr>
        <w:t>institutional trustee</w:t>
      </w:r>
      <w:r>
        <w:rPr>
          <w:color w:val="000000"/>
        </w:rPr>
        <w:t xml:space="preserve">” </w:t>
      </w:r>
      <w:r>
        <w:rPr>
          <w:rFonts w:ascii="Times New Roman;serif" w:hAnsi="Times New Roman;serif"/>
          <w:b w:val="false"/>
          <w:color w:val="000000"/>
          <w:sz w:val="22"/>
        </w:rPr>
        <w:t>means the Trustee.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2"/>
        </w:rPr>
        <w:t>obligor</w:t>
      </w:r>
      <w:r>
        <w:rPr>
          <w:color w:val="000000"/>
        </w:rPr>
        <w:t xml:space="preserve">” </w:t>
      </w:r>
      <w:r>
        <w:rPr>
          <w:rFonts w:ascii="Times New Roman;serif" w:hAnsi="Times New Roman;serif"/>
          <w:b w:val="false"/>
          <w:color w:val="000000"/>
          <w:sz w:val="22"/>
        </w:rPr>
        <w:t>on the indenture securities means the Company and any successor obligor upon the Securities.</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All other terms used in this Indenture that are defined by the TIA, defined by TIA reference to another statute or defined by SEC rule under the TIA and not otherwise defined herein are used herein as so defined.</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1.4    </w:t>
      </w:r>
      <w:r>
        <w:rPr>
          <w:rFonts w:ascii="Times New Roman;serif" w:hAnsi="Times New Roman;serif"/>
          <w:b w:val="false"/>
          <w:color w:val="000000"/>
          <w:sz w:val="22"/>
          <w:u w:val="single"/>
        </w:rPr>
        <w:t>Rules of Construction</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Unless the context otherwise requires: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a term has the meaning assigned to it;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an accounting term not otherwise defined has the meaning assigned to it in accordance with GAAP;</w:t>
      </w:r>
    </w:p>
    <w:p>
      <w:pPr>
        <w:pStyle w:val="TextBody"/>
        <w:bidi w:val="0"/>
        <w:spacing w:lineRule="auto" w:line="288" w:before="0" w:after="240"/>
        <w:ind w:left="0" w:right="0" w:firstLine="1440"/>
        <w:jc w:val="left"/>
        <w:rPr/>
      </w:pPr>
      <w:r>
        <w:rPr>
          <w:rFonts w:ascii="Times New Roman;serif" w:hAnsi="Times New Roman;serif"/>
          <w:b w:val="false"/>
          <w:color w:val="000000"/>
          <w:sz w:val="22"/>
        </w:rPr>
        <w:t>(c)    “</w:t>
      </w:r>
      <w:r>
        <w:rPr>
          <w:rFonts w:ascii="Times New Roman;serif" w:hAnsi="Times New Roman;serif"/>
          <w:b w:val="false"/>
          <w:i/>
          <w:color w:val="000000"/>
          <w:sz w:val="22"/>
        </w:rPr>
        <w:t>or</w:t>
      </w:r>
      <w:r>
        <w:rPr>
          <w:color w:val="000000"/>
        </w:rPr>
        <w:t xml:space="preserve">” </w:t>
      </w:r>
      <w:r>
        <w:rPr>
          <w:rFonts w:ascii="Times New Roman;serif" w:hAnsi="Times New Roman;serif"/>
          <w:b w:val="false"/>
          <w:color w:val="000000"/>
          <w:sz w:val="22"/>
        </w:rPr>
        <w:t>is not exclusive;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(d)    words in the singular include the plural, and in the plural include the singular;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    provisions apply to successive events and transactions.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ARTICLE II</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SECURITIES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    </w:t>
      </w:r>
      <w:r>
        <w:rPr>
          <w:rFonts w:ascii="Times New Roman;serif" w:hAnsi="Times New Roman;serif"/>
          <w:b w:val="false"/>
          <w:color w:val="000000"/>
          <w:sz w:val="22"/>
          <w:u w:val="single"/>
        </w:rPr>
        <w:t>Issuable in Series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2.2    </w:t>
      </w:r>
      <w:r>
        <w:rPr>
          <w:rFonts w:ascii="Times New Roman;serif" w:hAnsi="Times New Roman;serif"/>
          <w:b w:val="false"/>
          <w:color w:val="000000"/>
          <w:sz w:val="22"/>
          <w:u w:val="single"/>
        </w:rPr>
        <w:t>Establishment of Terms of Series of Securities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and set forth or determined in the manner provided in a Board Resolution, supplemental indenture hereto or Officer’s Certificate:</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4"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2.2.1.    the title (which shall distinguish the Securities of that particular Series from the Securities of any other Series) and ranking (including the terms of any subordination provisions) of the Series;</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2.2.2.    the price or prices (expressed as a percentage of the principal amount thereof) at which the Securities of the Series will be issued, including the portion of the principal amount of such Securities that is convertible into another Security or the method by which any such portion will be determined;</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2.2.4.    the date or dates on which the principal of the Securities of the Series is payable;</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2.2.6.    the right, if any, to defer payments of interest and the maximum length of any such deferral period;</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2.2.7.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 xml:space="preserve">2.2.8.    if applicable, the period or periods within which, the price or prices at which and the terms and conditions upon which the Securities of the Series may be redeemed, in whole or in part, at the option of the Company, and the manner in which any election by the Company to redeem the Securities will be evidenced; </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2.2.9.    the obligation, if any, of the Company to repurchase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2.2.10.    if other than denominations of $1,000 and any integral multiple thereof, the denominations in which the Securities of the Series shall be issuable;</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 xml:space="preserve">2.2.11.    the provisions relating to conversion or exchange of any Securities of the Series into the Company’s Common Stock or other securities and the terms and conditions upon which such Securities will be so convertible or exchangeable, including the conversion or exchange price, as applicable, or such conversion or exchange price will be calculated and any adjustments thereto, any mandatory or optional (at the option of the Company or the Holders of the Securities of a Series)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conversion or exchange provisions, the applicable conversion or exchange period and the manner of settlement for any such conversion or exchange;</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2.2.12.    the forms of the Securities of the Series and whether the Securities will be issuable as Global Securities (including the terms pertaining to the exchange of any such Securities)</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2.2.13.    if other than the principal amount thereof, the portion of the principal amount of the Securities of the Series that shall be payable upon declaration of acceleration of the maturity thereof pursuant to Section 6.2;</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2.2.14.    the designation of the currency, currencies or currency units in which payment of the principal of and interest, if any, on the Securities of the Series will be made and if other than that or those in which such Securities are denominated, the manner in which the exchange rate with respect to such payments will be determined;</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2.2.15.    the manner in which the amounts of payment of principal of or any premium or interest, if any, on the Securities of the Series will be determined, if such amounts may be determined by reference to an index based on a currency or currencies or by reference to a commodity, commodity index, stock exchange index or financial index;</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2.2.16.    the provisions, if any, relating to any security provided for the Securities of the Series;</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2.2.17.    any addition to, deletion of or change in the covenants set forth in Articles IV or V or the Events of Default that applies to any Securities of the Series and any change in the right of the Trustee or the requisite Holders of such Securities to declare the principal amount thereof due and payable pursuant to Section 6.2;</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2.2.18.    any Depositaries, interest rate calculation agents, exchange rate calculation agents, conversion agents or other agents with respect to Securities of such Series if other than those appointed herein;</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 xml:space="preserve">2.2.19.    if there is more than one Trustee or a different Trustee, the identity of the Trustee and, if not the Trustee, the identity of each Agent with respect to such Securities; </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2.2.20.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2.2.21.    whether any of the Company’s direct or indirect Subsidiaries will guarantee the Securities of that Series, including the terms of subordination, if any, of such guarantees.</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6"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2.3    </w:t>
      </w:r>
      <w:r>
        <w:rPr>
          <w:rFonts w:ascii="Times New Roman;serif" w:hAnsi="Times New Roman;serif"/>
          <w:b w:val="false"/>
          <w:color w:val="000000"/>
          <w:sz w:val="22"/>
          <w:u w:val="single"/>
        </w:rPr>
        <w:t>Execution and Authentication</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An Officer shall sign the Securities for the Company by manual or facsimile signature.</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If an Officer whose signature is on a Security no longer holds that office at the time the Security is authenticated, the Security shall nevertheless be valid.</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 Security shall not be valid until authenticated by the manual signature of the Trustee or an authenticating agent. The signature shall be conclusive evidence that the Security has been authenticated under this Indenture.</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(c) an Opinion of Counsel complying with Section 10.4 and (d) an Opinion of Counsel (which may be the same Opinion of Counsel referred to in the preceding clause (c)) that such Securities, when they have been duly executed, issued, and authenticated in accordance with the terms of the Indenture and delivered against payment therefor in the circumstances described in such Opinion of Counsel, will be legally valid and binding obligations of the Company, enforceable against the Company in accordance with their terms.</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2.4    </w:t>
      </w:r>
      <w:r>
        <w:rPr>
          <w:rFonts w:ascii="Times New Roman;serif" w:hAnsi="Times New Roman;serif"/>
          <w:b w:val="false"/>
          <w:color w:val="000000"/>
          <w:sz w:val="22"/>
          <w:u w:val="single"/>
        </w:rPr>
        <w:t>Registrar and Paying Agent</w:t>
      </w:r>
      <w:r>
        <w:rPr>
          <w:rFonts w:ascii="Times New Roman;serif" w:hAnsi="Times New Roman;serif"/>
          <w:b w:val="false"/>
          <w:color w:val="000000"/>
          <w:sz w:val="22"/>
        </w:rPr>
        <w:t>.</w:t>
      </w:r>
    </w:p>
    <w:p>
      <w:pPr>
        <w:pStyle w:val="TextBody"/>
        <w:bidi w:val="0"/>
        <w:spacing w:lineRule="auto" w:line="288" w:before="0" w:after="240"/>
        <w:ind w:left="0" w:right="0" w:firstLine="990"/>
        <w:jc w:val="left"/>
        <w:rPr/>
      </w:pPr>
      <w:r>
        <w:rPr>
          <w:rFonts w:ascii="Times New Roman;serif" w:hAnsi="Times New Roman;serif"/>
          <w:b w:val="false"/>
          <w:color w:val="000000"/>
          <w:sz w:val="22"/>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serif" w:hAnsi="Times New Roman;serif"/>
          <w:b w:val="false"/>
          <w:i/>
          <w:color w:val="000000"/>
          <w:sz w:val="22"/>
        </w:rPr>
        <w:t>Paying Agent</w:t>
      </w:r>
      <w:r>
        <w:rPr>
          <w:color w:val="000000"/>
        </w:rPr>
        <w:t>”</w:t>
      </w:r>
      <w:r>
        <w:rPr>
          <w:rFonts w:ascii="Times New Roman;serif" w:hAnsi="Times New Roman;serif"/>
          <w:b w:val="false"/>
          <w:color w:val="000000"/>
          <w:sz w:val="22"/>
        </w:rPr>
        <w:t>), where Securities of such Series may be surrendered for registration of transfer or exchange (“</w:t>
      </w:r>
      <w:r>
        <w:rPr>
          <w:rFonts w:ascii="Times New Roman;serif" w:hAnsi="Times New Roman;serif"/>
          <w:b w:val="false"/>
          <w:i/>
          <w:color w:val="000000"/>
          <w:sz w:val="22"/>
        </w:rPr>
        <w:t>Registrar</w:t>
      </w:r>
      <w:r>
        <w:rPr>
          <w:color w:val="000000"/>
        </w:rPr>
        <w:t>”</w:t>
      </w:r>
      <w:r>
        <w:rPr>
          <w:rFonts w:ascii="Times New Roman;serif" w:hAnsi="Times New Roman;serif"/>
          <w:b w:val="false"/>
          <w:color w:val="000000"/>
          <w:sz w:val="22"/>
        </w:rPr>
        <w:t xml:space="preserve">) and where notices and demands to or upon the Company in respect of the Securities of such Series and this Indenture may be delivered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7"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w:t>
      </w:r>
      <w:r>
        <w:rPr>
          <w:rFonts w:ascii="Times New Roman;serif" w:hAnsi="Times New Roman;serif"/>
          <w:b w:val="false"/>
          <w:i/>
          <w:color w:val="000000"/>
          <w:sz w:val="22"/>
        </w:rPr>
        <w:t>Notice Agent</w:t>
      </w:r>
      <w:r>
        <w:rPr>
          <w:color w:val="000000"/>
        </w:rPr>
        <w:t>”</w:t>
      </w:r>
      <w:r>
        <w:rPr>
          <w:rFonts w:ascii="Times New Roman;serif" w:hAnsi="Times New Roman;serif"/>
          <w:b w:val="false"/>
          <w:color w:val="000000"/>
          <w:sz w:val="22"/>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any appointment of the Trustee as the Notice Agent shall exclude the appointment of the Trustee or any office of the Trustee as an agent to receive the service of legal process on the Company.</w:t>
      </w:r>
    </w:p>
    <w:p>
      <w:pPr>
        <w:pStyle w:val="TextBody"/>
        <w:bidi w:val="0"/>
        <w:spacing w:lineRule="auto" w:line="288" w:before="0" w:after="240"/>
        <w:ind w:left="0" w:right="0" w:firstLine="990"/>
        <w:jc w:val="left"/>
        <w:rPr/>
      </w:pPr>
      <w:r>
        <w:rPr>
          <w:rFonts w:ascii="Times New Roman;serif" w:hAnsi="Times New Roman;serif"/>
          <w:b w:val="false"/>
          <w:color w:val="000000"/>
          <w:sz w:val="22"/>
        </w:rPr>
        <w:t xml:space="preserve">The Company may also from time to time designate one or more co-registrars, additional paying agents or additional notice agents and may from time to time rescind such designations;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serif" w:hAnsi="Times New Roman;serif"/>
          <w:b w:val="false"/>
          <w:i/>
          <w:color w:val="000000"/>
          <w:sz w:val="22"/>
        </w:rPr>
        <w:t>Registrar</w:t>
      </w:r>
      <w:r>
        <w:rPr>
          <w:color w:val="000000"/>
        </w:rPr>
        <w:t xml:space="preserve">” </w:t>
      </w:r>
      <w:r>
        <w:rPr>
          <w:rFonts w:ascii="Times New Roman;serif" w:hAnsi="Times New Roman;serif"/>
          <w:b w:val="false"/>
          <w:color w:val="000000"/>
          <w:sz w:val="22"/>
        </w:rPr>
        <w:t>includes any co-registrar; the term “</w:t>
      </w:r>
      <w:r>
        <w:rPr>
          <w:rFonts w:ascii="Times New Roman;serif" w:hAnsi="Times New Roman;serif"/>
          <w:b w:val="false"/>
          <w:i/>
          <w:color w:val="000000"/>
          <w:sz w:val="22"/>
        </w:rPr>
        <w:t>Paying Agent</w:t>
      </w:r>
      <w:r>
        <w:rPr>
          <w:color w:val="000000"/>
        </w:rPr>
        <w:t xml:space="preserve">” </w:t>
      </w:r>
      <w:r>
        <w:rPr>
          <w:rFonts w:ascii="Times New Roman;serif" w:hAnsi="Times New Roman;serif"/>
          <w:b w:val="false"/>
          <w:color w:val="000000"/>
          <w:sz w:val="22"/>
        </w:rPr>
        <w:t>includes any additional paying agent; and the term “</w:t>
      </w:r>
      <w:r>
        <w:rPr>
          <w:rFonts w:ascii="Times New Roman;serif" w:hAnsi="Times New Roman;serif"/>
          <w:b w:val="false"/>
          <w:i/>
          <w:color w:val="000000"/>
          <w:sz w:val="22"/>
        </w:rPr>
        <w:t>Notice Agent</w:t>
      </w:r>
      <w:r>
        <w:rPr>
          <w:color w:val="000000"/>
        </w:rPr>
        <w:t xml:space="preserve">” </w:t>
      </w:r>
      <w:r>
        <w:rPr>
          <w:rFonts w:ascii="Times New Roman;serif" w:hAnsi="Times New Roman;serif"/>
          <w:b w:val="false"/>
          <w:color w:val="000000"/>
          <w:sz w:val="22"/>
        </w:rPr>
        <w:t>includes any additional notice agent. The Company or any of its Affiliates may serve as Registrar or Paying Agent.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2.5    </w:t>
      </w:r>
      <w:r>
        <w:rPr>
          <w:rFonts w:ascii="Times New Roman;serif" w:hAnsi="Times New Roman;serif"/>
          <w:b w:val="false"/>
          <w:color w:val="000000"/>
          <w:sz w:val="22"/>
          <w:u w:val="single"/>
        </w:rPr>
        <w:t>Paying Agent to Hold Money in Trust</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2.6    </w:t>
      </w:r>
      <w:r>
        <w:rPr>
          <w:rFonts w:ascii="Times New Roman;serif" w:hAnsi="Times New Roman;serif"/>
          <w:b w:val="false"/>
          <w:color w:val="000000"/>
          <w:sz w:val="22"/>
          <w:u w:val="single"/>
        </w:rPr>
        <w:t>Securityholder Lists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18"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2.7    </w:t>
      </w:r>
      <w:r>
        <w:rPr>
          <w:rFonts w:ascii="Times New Roman;serif" w:hAnsi="Times New Roman;serif"/>
          <w:b w:val="false"/>
          <w:color w:val="000000"/>
          <w:sz w:val="22"/>
          <w:u w:val="single"/>
        </w:rPr>
        <w:t>Transfer and Exchange</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2.8    </w:t>
      </w:r>
      <w:r>
        <w:rPr>
          <w:rFonts w:ascii="Times New Roman;serif" w:hAnsi="Times New Roman;serif"/>
          <w:b w:val="false"/>
          <w:color w:val="000000"/>
          <w:sz w:val="22"/>
          <w:u w:val="single"/>
        </w:rPr>
        <w:t>Mutilated, Destroyed, Lost and Stolen Securities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In case any such mutilated, destroyed, lost or stolen Security has become or is about to become due and payable, the Company in its discretion may, instead of issuing a new Security, pay such Security.</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19"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2.9    </w:t>
      </w:r>
      <w:r>
        <w:rPr>
          <w:rFonts w:ascii="Times New Roman;serif" w:hAnsi="Times New Roman;serif"/>
          <w:b w:val="false"/>
          <w:color w:val="000000"/>
          <w:sz w:val="22"/>
          <w:u w:val="single"/>
        </w:rPr>
        <w:t>Outstanding Securities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If a Security is replaced pursuant to Section 2.8, it ceases to be outstanding until the Trustee receives proof satisfactory to it that the replaced Security is held by a bona fide purchaser.</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2.10    </w:t>
      </w:r>
      <w:r>
        <w:rPr>
          <w:rFonts w:ascii="Times New Roman;serif" w:hAnsi="Times New Roman;serif"/>
          <w:b w:val="false"/>
          <w:color w:val="000000"/>
          <w:sz w:val="22"/>
          <w:u w:val="single"/>
        </w:rPr>
        <w:t>Treasury Securities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2.11    </w:t>
      </w:r>
      <w:r>
        <w:rPr>
          <w:rFonts w:ascii="Times New Roman;serif" w:hAnsi="Times New Roman;serif"/>
          <w:b w:val="false"/>
          <w:color w:val="000000"/>
          <w:sz w:val="22"/>
          <w:u w:val="single"/>
        </w:rPr>
        <w:t>Temporary Securities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2.12    </w:t>
      </w:r>
      <w:r>
        <w:rPr>
          <w:rFonts w:ascii="Times New Roman;serif" w:hAnsi="Times New Roman;serif"/>
          <w:b w:val="false"/>
          <w:color w:val="000000"/>
          <w:sz w:val="22"/>
          <w:u w:val="single"/>
        </w:rPr>
        <w:t>Cancellation</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2.13    </w:t>
      </w:r>
      <w:r>
        <w:rPr>
          <w:rFonts w:ascii="Times New Roman;serif" w:hAnsi="Times New Roman;serif"/>
          <w:b w:val="false"/>
          <w:color w:val="000000"/>
          <w:sz w:val="22"/>
          <w:u w:val="single"/>
        </w:rPr>
        <w:t>Defaulted Interest</w:t>
      </w:r>
      <w:r>
        <w:rPr>
          <w:rFonts w:ascii="Times New Roman;serif" w:hAnsi="Times New Roman;serif"/>
          <w:b w:val="false"/>
          <w:color w:val="000000"/>
          <w:sz w:val="22"/>
        </w:rPr>
        <w:t>.</w:t>
      </w:r>
    </w:p>
    <w:p>
      <w:pPr>
        <w:pStyle w:val="TextBody"/>
        <w:bidi w:val="0"/>
        <w:spacing w:lineRule="auto" w:line="288" w:before="0" w:after="240"/>
        <w:ind w:left="0" w:right="0" w:firstLine="979"/>
        <w:jc w:val="left"/>
        <w:rPr>
          <w:rFonts w:ascii="Times New Roman;serif" w:hAnsi="Times New Roman;serif"/>
          <w:b w:val="false"/>
          <w:color w:val="000000"/>
          <w:sz w:val="22"/>
        </w:rPr>
      </w:pPr>
      <w:r>
        <w:rPr>
          <w:rFonts w:ascii="Times New Roman;serif" w:hAnsi="Times New Roman;serif"/>
          <w:b w:val="false"/>
          <w:color w:val="000000"/>
          <w:sz w:val="22"/>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2.14    </w:t>
      </w:r>
      <w:r>
        <w:rPr>
          <w:rFonts w:ascii="Times New Roman;serif" w:hAnsi="Times New Roman;serif"/>
          <w:b w:val="false"/>
          <w:color w:val="000000"/>
          <w:sz w:val="22"/>
          <w:u w:val="single"/>
        </w:rPr>
        <w:t>Global Securities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pPr>
      <w:r>
        <w:rPr>
          <w:rFonts w:ascii="Times New Roman;serif" w:hAnsi="Times New Roman;serif"/>
          <w:b w:val="false"/>
          <w:color w:val="000000"/>
          <w:sz w:val="22"/>
        </w:rPr>
        <w:t>2.14.1.    </w:t>
      </w:r>
      <w:r>
        <w:rPr>
          <w:rFonts w:ascii="Times New Roman;serif" w:hAnsi="Times New Roman;serif"/>
          <w:b w:val="false"/>
          <w:color w:val="000000"/>
          <w:sz w:val="22"/>
          <w:u w:val="single"/>
        </w:rPr>
        <w:t>Terms of Securities</w:t>
      </w:r>
      <w:r>
        <w:rPr>
          <w:rFonts w:ascii="Times New Roman;serif" w:hAnsi="Times New Roman;serif"/>
          <w:b w:val="false"/>
          <w:color w:val="000000"/>
          <w:sz w:val="22"/>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pStyle w:val="TextBody"/>
        <w:bidi w:val="0"/>
        <w:spacing w:lineRule="auto" w:line="288" w:before="0" w:after="240"/>
        <w:ind w:left="0" w:right="0" w:firstLine="990"/>
        <w:jc w:val="left"/>
        <w:rPr/>
      </w:pPr>
      <w:r>
        <w:rPr>
          <w:rFonts w:ascii="Times New Roman;serif" w:hAnsi="Times New Roman;serif"/>
          <w:b w:val="false"/>
          <w:color w:val="000000"/>
          <w:sz w:val="22"/>
        </w:rPr>
        <w:t>2.14.2.    </w:t>
      </w:r>
      <w:r>
        <w:rPr>
          <w:rFonts w:ascii="Times New Roman;serif" w:hAnsi="Times New Roman;serif"/>
          <w:b w:val="false"/>
          <w:color w:val="000000"/>
          <w:sz w:val="22"/>
          <w:u w:val="single"/>
        </w:rPr>
        <w:t>Transfer and Exchange</w:t>
      </w:r>
      <w:r>
        <w:rPr>
          <w:rFonts w:ascii="Times New Roman;serif" w:hAnsi="Times New Roman;serif"/>
          <w:b w:val="false"/>
          <w:color w:val="000000"/>
          <w:sz w:val="22"/>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lineRule="auto" w:line="288" w:before="0" w:after="240"/>
        <w:ind w:left="0" w:right="0" w:firstLine="540"/>
        <w:jc w:val="left"/>
        <w:rPr>
          <w:rFonts w:ascii="Times New Roman;serif" w:hAnsi="Times New Roman;serif"/>
          <w:b w:val="false"/>
          <w:color w:val="000000"/>
          <w:sz w:val="22"/>
        </w:rPr>
      </w:pPr>
      <w:r>
        <w:rPr>
          <w:rFonts w:ascii="Times New Roman;serif" w:hAnsi="Times New Roman;serif"/>
          <w:b w:val="false"/>
          <w:color w:val="000000"/>
          <w:sz w:val="22"/>
        </w:rPr>
        <w:t>Neither the Trustee nor any Agent shall have any responsibility for any actions taken or not taken by the Depositary.</w:t>
      </w:r>
    </w:p>
    <w:p>
      <w:pPr>
        <w:pStyle w:val="TextBody"/>
        <w:bidi w:val="0"/>
        <w:spacing w:lineRule="auto" w:line="288" w:before="0" w:after="240"/>
        <w:ind w:left="0" w:right="0" w:firstLine="990"/>
        <w:jc w:val="left"/>
        <w:rPr/>
      </w:pPr>
      <w:r>
        <w:rPr>
          <w:rFonts w:ascii="Times New Roman;serif" w:hAnsi="Times New Roman;serif"/>
          <w:b w:val="false"/>
          <w:color w:val="000000"/>
          <w:sz w:val="22"/>
        </w:rPr>
        <w:t>2.14.3.    </w:t>
      </w:r>
      <w:r>
        <w:rPr>
          <w:rFonts w:ascii="Times New Roman;serif" w:hAnsi="Times New Roman;serif"/>
          <w:b w:val="false"/>
          <w:color w:val="000000"/>
          <w:sz w:val="22"/>
          <w:u w:val="single"/>
        </w:rPr>
        <w:t>Legends</w:t>
      </w:r>
      <w:r>
        <w:rPr>
          <w:rFonts w:ascii="Times New Roman;serif" w:hAnsi="Times New Roman;serif"/>
          <w:b w:val="false"/>
          <w:color w:val="000000"/>
          <w:sz w:val="22"/>
        </w:rPr>
        <w:t>. Any Global Security issued hereunder shall bear a legend in substantially the following form:</w:t>
      </w:r>
    </w:p>
    <w:p>
      <w:pPr>
        <w:pStyle w:val="TextBody"/>
        <w:bidi w:val="0"/>
        <w:spacing w:lineRule="auto" w:line="288" w:before="0" w:after="240"/>
        <w:ind w:left="0" w:right="0" w:firstLine="990"/>
        <w:jc w:val="left"/>
        <w:rPr>
          <w:color w:val="000000"/>
        </w:rPr>
      </w:pPr>
      <w:r>
        <w:rPr>
          <w:color w:val="000000"/>
        </w:rPr>
        <w:t>“</w:t>
      </w:r>
      <w:r>
        <w:rPr>
          <w:rFonts w:ascii="Times New Roman;serif" w:hAnsi="Times New Roman;serif"/>
          <w:b w:val="false"/>
          <w:color w:val="000000"/>
          <w:sz w:val="22"/>
        </w:rPr>
        <w:t xml:space="preserve">THIS SECURITY IS A GLOBAL SECURITY WITHIN THE MEANING OF THE INDENTURE HEREINAFTER REFERRED TO AND IS REGISTERED IN THE NAME OF THE DEPOSITARY OR A NOMINEE OF THE DEPOSITARY. THIS SECURITY IS EXCHANGEABLE FOR SECURITIES REGISTERED IN THE NAME OF A PERSON OTHER THAN THE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pStyle w:val="TextBody"/>
        <w:bidi w:val="0"/>
        <w:spacing w:lineRule="auto" w:line="288" w:before="0" w:after="240"/>
        <w:ind w:left="0" w:right="0" w:firstLine="990"/>
        <w:jc w:val="left"/>
        <w:rPr/>
      </w:pPr>
      <w:r>
        <w:rPr>
          <w:rFonts w:ascii="Times New Roman;serif" w:hAnsi="Times New Roman;serif"/>
          <w:b w:val="false"/>
          <w:color w:val="000000"/>
          <w:sz w:val="22"/>
        </w:rPr>
        <w:t>In addition, so long as the Depository Trust Company (“</w:t>
      </w:r>
      <w:r>
        <w:rPr>
          <w:rFonts w:ascii="Times New Roman;serif" w:hAnsi="Times New Roman;serif"/>
          <w:b w:val="false"/>
          <w:i/>
          <w:color w:val="000000"/>
          <w:sz w:val="22"/>
        </w:rPr>
        <w:t>DTC</w:t>
      </w:r>
      <w:r>
        <w:rPr>
          <w:color w:val="000000"/>
        </w:rPr>
        <w:t>”</w:t>
      </w:r>
      <w:r>
        <w:rPr>
          <w:rFonts w:ascii="Times New Roman;serif" w:hAnsi="Times New Roman;serif"/>
          <w:b w:val="false"/>
          <w:color w:val="000000"/>
          <w:sz w:val="22"/>
        </w:rPr>
        <w:t>) is the Depositary, each Global Note registered in the name of DTC or its nominee shall bear a legend in substantially the following form:</w:t>
      </w:r>
    </w:p>
    <w:p>
      <w:pPr>
        <w:pStyle w:val="TextBody"/>
        <w:bidi w:val="0"/>
        <w:spacing w:lineRule="auto" w:line="288" w:before="0" w:after="240"/>
        <w:ind w:left="0" w:right="0" w:firstLine="990"/>
        <w:jc w:val="left"/>
        <w:rPr>
          <w:color w:val="000000"/>
        </w:rPr>
      </w:pPr>
      <w:r>
        <w:rPr>
          <w:color w:val="000000"/>
        </w:rPr>
        <w:t>“</w:t>
      </w:r>
      <w:r>
        <w:rPr>
          <w:rFonts w:ascii="Times New Roman;serif" w:hAnsi="Times New Roman;serif"/>
          <w:b w:val="false"/>
          <w:color w:val="000000"/>
          <w:sz w:val="22"/>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pStyle w:val="TextBody"/>
        <w:bidi w:val="0"/>
        <w:spacing w:lineRule="auto" w:line="288" w:before="0" w:after="240"/>
        <w:ind w:left="0" w:right="0" w:firstLine="990"/>
        <w:jc w:val="left"/>
        <w:rPr/>
      </w:pPr>
      <w:r>
        <w:rPr>
          <w:rFonts w:ascii="Times New Roman;serif" w:hAnsi="Times New Roman;serif"/>
          <w:b w:val="false"/>
          <w:color w:val="000000"/>
          <w:sz w:val="22"/>
        </w:rPr>
        <w:t>2.14.4.    </w:t>
      </w:r>
      <w:r>
        <w:rPr>
          <w:rFonts w:ascii="Times New Roman;serif" w:hAnsi="Times New Roman;serif"/>
          <w:b w:val="false"/>
          <w:color w:val="000000"/>
          <w:sz w:val="22"/>
          <w:u w:val="single"/>
        </w:rPr>
        <w:t>Acts of Holders</w:t>
      </w:r>
      <w:r>
        <w:rPr>
          <w:rFonts w:ascii="Times New Roman;serif" w:hAnsi="Times New Roman;serif"/>
          <w:b w:val="false"/>
          <w:color w:val="000000"/>
          <w:sz w:val="22"/>
        </w:rPr>
        <w:t>. The Depositary, as a Holder, may appoint agents and otherwise authorize participants to give or take any request, demand, authorization, direction, notice, consent, waiver or other action which a Holder is entitled to give or take under the Indenture.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(c)    The ownership of Global Securities or any Securities issued in certificated form shall be proved by the Registrar.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2"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(d)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    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pStyle w:val="TextBody"/>
        <w:bidi w:val="0"/>
        <w:spacing w:lineRule="auto" w:line="288" w:before="0" w:after="240"/>
        <w:ind w:left="0" w:right="0" w:firstLine="990"/>
        <w:jc w:val="left"/>
        <w:rPr/>
      </w:pPr>
      <w:r>
        <w:rPr>
          <w:rFonts w:ascii="Times New Roman;serif" w:hAnsi="Times New Roman;serif"/>
          <w:b w:val="false"/>
          <w:color w:val="000000"/>
          <w:sz w:val="22"/>
        </w:rPr>
        <w:t>2.14.5.    </w:t>
      </w:r>
      <w:r>
        <w:rPr>
          <w:rFonts w:ascii="Times New Roman;serif" w:hAnsi="Times New Roman;serif"/>
          <w:b w:val="false"/>
          <w:color w:val="000000"/>
          <w:sz w:val="22"/>
          <w:u w:val="single"/>
        </w:rPr>
        <w:t>Payments</w:t>
      </w:r>
      <w:r>
        <w:rPr>
          <w:rFonts w:ascii="Times New Roman;serif" w:hAnsi="Times New Roman;serif"/>
          <w:b w:val="false"/>
          <w:color w:val="000000"/>
          <w:sz w:val="22"/>
        </w:rPr>
        <w:t>. Notwithstanding the other provisions of this Indenture, unless otherwise specified as contemplated by Section 2.2, payment of the principal of and interest, if any, on any Global Security shall be made to the Holder thereof.</w:t>
      </w:r>
    </w:p>
    <w:p>
      <w:pPr>
        <w:pStyle w:val="TextBody"/>
        <w:bidi w:val="0"/>
        <w:spacing w:lineRule="auto" w:line="288" w:before="0" w:after="240"/>
        <w:ind w:left="0" w:right="0" w:firstLine="990"/>
        <w:jc w:val="left"/>
        <w:rPr/>
      </w:pPr>
      <w:r>
        <w:rPr>
          <w:rFonts w:ascii="Times New Roman;serif" w:hAnsi="Times New Roman;serif"/>
          <w:b w:val="false"/>
          <w:color w:val="000000"/>
          <w:sz w:val="22"/>
        </w:rPr>
        <w:t>2.14.6.    </w:t>
      </w:r>
      <w:r>
        <w:rPr>
          <w:rFonts w:ascii="Times New Roman;serif" w:hAnsi="Times New Roman;serif"/>
          <w:b w:val="false"/>
          <w:color w:val="000000"/>
          <w:sz w:val="22"/>
          <w:u w:val="single"/>
        </w:rPr>
        <w:t>Consents, Declaration and Directions</w:t>
      </w:r>
      <w:r>
        <w:rPr>
          <w:rFonts w:ascii="Times New Roman;serif" w:hAnsi="Times New Roman;serif"/>
          <w:b w:val="false"/>
          <w:color w:val="000000"/>
          <w:sz w:val="22"/>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2.15    </w:t>
      </w:r>
      <w:r>
        <w:rPr>
          <w:rFonts w:ascii="Times New Roman;serif" w:hAnsi="Times New Roman;serif"/>
          <w:b w:val="false"/>
          <w:color w:val="000000"/>
          <w:sz w:val="22"/>
          <w:u w:val="single"/>
        </w:rPr>
        <w:t>CUSIP Numbers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pPr>
      <w:r>
        <w:rPr>
          <w:rFonts w:ascii="Times New Roman;serif" w:hAnsi="Times New Roman;serif"/>
          <w:b w:val="false"/>
          <w:color w:val="000000"/>
          <w:sz w:val="22"/>
        </w:rPr>
        <w:t xml:space="preserve">The Company in issuing the Securities may use “CUSIP” numbers (if then generally in use), and, if so, the Trustee shall use “CUSIP” numbers in notices of redemption as a convenience to Holders;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ARTICLE III</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REDEMPTION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3.1    </w:t>
      </w:r>
      <w:r>
        <w:rPr>
          <w:rFonts w:ascii="Times New Roman;serif" w:hAnsi="Times New Roman;serif"/>
          <w:b w:val="false"/>
          <w:color w:val="000000"/>
          <w:sz w:val="22"/>
          <w:u w:val="single"/>
        </w:rPr>
        <w:t>Notice to Trustee</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3"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3.2    </w:t>
      </w:r>
      <w:r>
        <w:rPr>
          <w:rFonts w:ascii="Times New Roman;serif" w:hAnsi="Times New Roman;serif"/>
          <w:b w:val="false"/>
          <w:color w:val="000000"/>
          <w:sz w:val="22"/>
          <w:u w:val="single"/>
        </w:rPr>
        <w:t>Selection of Securities to be Redeemed</w:t>
      </w:r>
      <w:r>
        <w:rPr>
          <w:rFonts w:ascii="Times New Roman;serif" w:hAnsi="Times New Roman;serif"/>
          <w:b w:val="false"/>
          <w:color w:val="000000"/>
          <w:sz w:val="22"/>
        </w:rPr>
        <w:t>.</w:t>
      </w:r>
    </w:p>
    <w:p>
      <w:pPr>
        <w:pStyle w:val="TextBody"/>
        <w:bidi w:val="0"/>
        <w:spacing w:lineRule="auto" w:line="288" w:before="0" w:after="240"/>
        <w:ind w:left="0" w:right="0" w:firstLine="990"/>
        <w:jc w:val="left"/>
        <w:rPr/>
      </w:pPr>
      <w:r>
        <w:rPr>
          <w:rFonts w:ascii="Times New Roman;serif" w:hAnsi="Times New Roman;serif"/>
          <w:b w:val="false"/>
          <w:color w:val="000000"/>
          <w:sz w:val="22"/>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3.3    </w:t>
      </w:r>
      <w:r>
        <w:rPr>
          <w:rFonts w:ascii="Times New Roman;serif" w:hAnsi="Times New Roman;serif"/>
          <w:b w:val="false"/>
          <w:color w:val="000000"/>
          <w:sz w:val="22"/>
          <w:u w:val="single"/>
        </w:rPr>
        <w:t>Notice of Redemption</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notice shall identify the Securities of the Series to be redeemed and shall state: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the redemption date;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the redemption price (or manner of calculation if not then known);</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the name and address of the Paying Agent;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(d)    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    that Securities of the Series called for redemption must be surrendered to the Paying Agent to collect the redemption price;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(f)    that interest on Securities of the Series called for redemption ceases to accrue on and after the redemption date unless the Company defaults in the deposit of the redemption price;</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4"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(g)    the CUSIP number, if any;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(h)    any other information as may be required by the terms of the particular Series or the Securities of a Series being redeemed.</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3.4    </w:t>
      </w:r>
      <w:r>
        <w:rPr>
          <w:rFonts w:ascii="Times New Roman;serif" w:hAnsi="Times New Roman;serif"/>
          <w:b w:val="false"/>
          <w:color w:val="000000"/>
          <w:sz w:val="22"/>
          <w:u w:val="single"/>
        </w:rPr>
        <w:t>Effect of Notice of Redemption</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3.5    </w:t>
      </w:r>
      <w:r>
        <w:rPr>
          <w:rFonts w:ascii="Times New Roman;serif" w:hAnsi="Times New Roman;serif"/>
          <w:b w:val="false"/>
          <w:color w:val="000000"/>
          <w:sz w:val="22"/>
          <w:u w:val="single"/>
        </w:rPr>
        <w:t>Deposit of Redemption Price</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3.6    </w:t>
      </w:r>
      <w:r>
        <w:rPr>
          <w:rFonts w:ascii="Times New Roman;serif" w:hAnsi="Times New Roman;serif"/>
          <w:b w:val="false"/>
          <w:color w:val="000000"/>
          <w:sz w:val="22"/>
          <w:u w:val="single"/>
        </w:rPr>
        <w:t>Securities Redeemed in Part</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Upon surrender of a Security that is redeemed in part, the Trustee shall authenticate for the Holder a new Security of the same Series and the same maturity equal in principal amount to the unredeemed portion of the Security surrendered.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ARTICLE IV</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COVENANTS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4.1    </w:t>
      </w:r>
      <w:r>
        <w:rPr>
          <w:rFonts w:ascii="Times New Roman;serif" w:hAnsi="Times New Roman;serif"/>
          <w:b w:val="false"/>
          <w:color w:val="000000"/>
          <w:sz w:val="22"/>
          <w:u w:val="single"/>
        </w:rPr>
        <w:t>Payment of Principal and Interest</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4.2    </w:t>
      </w:r>
      <w:r>
        <w:rPr>
          <w:rFonts w:ascii="Times New Roman;serif" w:hAnsi="Times New Roman;serif"/>
          <w:b w:val="false"/>
          <w:color w:val="000000"/>
          <w:sz w:val="22"/>
          <w:u w:val="single"/>
        </w:rPr>
        <w:t>SEC Reports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 xml:space="preserve">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5"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 </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4.3    </w:t>
      </w:r>
      <w:r>
        <w:rPr>
          <w:rFonts w:ascii="Times New Roman;serif" w:hAnsi="Times New Roman;serif"/>
          <w:b w:val="false"/>
          <w:color w:val="000000"/>
          <w:sz w:val="22"/>
          <w:u w:val="single"/>
        </w:rPr>
        <w:t>Compliance Certificate</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4.4    </w:t>
      </w:r>
      <w:r>
        <w:rPr>
          <w:rFonts w:ascii="Times New Roman;serif" w:hAnsi="Times New Roman;serif"/>
          <w:b w:val="false"/>
          <w:color w:val="000000"/>
          <w:sz w:val="22"/>
          <w:u w:val="single"/>
        </w:rPr>
        <w:t>Stay, Extension and Usury Laws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ARTICLE V</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SUCCESSORS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5.1    </w:t>
      </w:r>
      <w:r>
        <w:rPr>
          <w:rFonts w:ascii="Times New Roman;serif" w:hAnsi="Times New Roman;serif"/>
          <w:b w:val="false"/>
          <w:color w:val="000000"/>
          <w:sz w:val="22"/>
          <w:u w:val="single"/>
        </w:rPr>
        <w:t>When Company May Merge, Etc</w:t>
      </w:r>
      <w:r>
        <w:rPr>
          <w:rFonts w:ascii="Times New Roman;serif" w:hAnsi="Times New Roman;serif"/>
          <w:b w:val="false"/>
          <w:color w:val="000000"/>
          <w:sz w:val="22"/>
        </w:rPr>
        <w:t>.</w:t>
      </w:r>
    </w:p>
    <w:p>
      <w:pPr>
        <w:pStyle w:val="TextBody"/>
        <w:bidi w:val="0"/>
        <w:spacing w:lineRule="auto" w:line="288" w:before="0" w:after="240"/>
        <w:ind w:left="0" w:right="0" w:firstLine="990"/>
        <w:jc w:val="left"/>
        <w:rPr/>
      </w:pPr>
      <w:r>
        <w:rPr>
          <w:rFonts w:ascii="Times New Roman;serif" w:hAnsi="Times New Roman;serif"/>
          <w:b w:val="false"/>
          <w:color w:val="000000"/>
          <w:sz w:val="22"/>
        </w:rPr>
        <w:t>The Company shall not consolidate with or merge with or into, or convey, transfer or lease all or substantially all of its properties and assets to, any person (a “</w:t>
      </w:r>
      <w:r>
        <w:rPr>
          <w:rFonts w:ascii="Times New Roman;serif" w:hAnsi="Times New Roman;serif"/>
          <w:b w:val="false"/>
          <w:i/>
          <w:color w:val="000000"/>
          <w:sz w:val="22"/>
        </w:rPr>
        <w:t>successor person</w:t>
      </w:r>
      <w:r>
        <w:rPr>
          <w:color w:val="000000"/>
        </w:rPr>
        <w:t>”</w:t>
      </w:r>
      <w:r>
        <w:rPr>
          <w:rFonts w:ascii="Times New Roman;serif" w:hAnsi="Times New Roman;serif"/>
          <w:b w:val="false"/>
          <w:color w:val="000000"/>
          <w:sz w:val="22"/>
        </w:rPr>
        <w:t>) unless: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immediately after giving effect to the transaction, no Default or Event of Default, shall have occurred and be continuing.</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5.2    </w:t>
      </w:r>
      <w:r>
        <w:rPr>
          <w:rFonts w:ascii="Times New Roman;serif" w:hAnsi="Times New Roman;serif"/>
          <w:b w:val="false"/>
          <w:color w:val="000000"/>
          <w:sz w:val="22"/>
          <w:u w:val="single"/>
        </w:rPr>
        <w:t>Successor Corporation Substituted</w:t>
      </w:r>
      <w:r>
        <w:rPr>
          <w:rFonts w:ascii="Times New Roman;serif" w:hAnsi="Times New Roman;serif"/>
          <w:b w:val="false"/>
          <w:color w:val="000000"/>
          <w:sz w:val="22"/>
        </w:rPr>
        <w:t>.</w:t>
      </w:r>
    </w:p>
    <w:p>
      <w:pPr>
        <w:pStyle w:val="TextBody"/>
        <w:bidi w:val="0"/>
        <w:spacing w:lineRule="auto" w:line="288" w:before="0" w:after="240"/>
        <w:ind w:left="0" w:right="0" w:firstLine="990"/>
        <w:jc w:val="left"/>
        <w:rPr/>
      </w:pPr>
      <w:r>
        <w:rPr>
          <w:rFonts w:ascii="Times New Roman;serif" w:hAnsi="Times New Roman;serif"/>
          <w:b w:val="false"/>
          <w:color w:val="000000"/>
          <w:sz w:val="22"/>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predecessor Company in the case of a sale, conveyance or other disposition (other than a lease) shall be released from all obligations and covenants under this Indenture and the Securities.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ARTICLE VI</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DEFAULTS AND REMEDIES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6.1    </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w:t>
      </w:r>
    </w:p>
    <w:p>
      <w:pPr>
        <w:pStyle w:val="TextBody"/>
        <w:bidi w:val="0"/>
        <w:spacing w:lineRule="auto" w:line="288" w:before="0" w:after="240"/>
        <w:ind w:left="0" w:right="0" w:firstLine="990"/>
        <w:jc w:val="left"/>
        <w:rPr/>
      </w:pPr>
      <w:r>
        <w:rPr>
          <w:color w:val="000000"/>
        </w:rPr>
        <w:t>“</w:t>
      </w:r>
      <w:r>
        <w:rPr>
          <w:rFonts w:ascii="Times New Roman;serif" w:hAnsi="Times New Roman;serif"/>
          <w:b w:val="false"/>
          <w:i/>
          <w:color w:val="000000"/>
          <w:sz w:val="22"/>
        </w:rPr>
        <w:t>Event of Default</w:t>
      </w:r>
      <w:r>
        <w:rPr>
          <w:rFonts w:ascii="Times New Roman;serif" w:hAnsi="Times New Roman;serif"/>
          <w:b w:val="false"/>
          <w:color w:val="000000"/>
          <w:sz w:val="22"/>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lineRule="auto" w:line="288" w:before="0" w:after="240"/>
        <w:ind w:left="0" w:right="0" w:firstLine="1440"/>
        <w:jc w:val="left"/>
        <w:rPr/>
      </w:pPr>
      <w:r>
        <w:rPr>
          <w:rFonts w:ascii="Times New Roman;serif" w:hAnsi="Times New Roman;serif"/>
          <w:b w:val="false"/>
          <w:color w:val="000000"/>
          <w:sz w:val="22"/>
        </w:rPr>
        <w:t>(a)    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such period); or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default in the payment of principal of any Security of that Series at its Maturity; or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(d)    the Company pursuant to or within the meaning of any Bankruptcy Law:</w:t>
      </w:r>
    </w:p>
    <w:p>
      <w:pPr>
        <w:pStyle w:val="TextBody"/>
        <w:bidi w:val="0"/>
        <w:spacing w:lineRule="auto" w:line="288" w:before="0" w:after="240"/>
        <w:ind w:left="0" w:right="0" w:firstLine="2340"/>
        <w:jc w:val="left"/>
        <w:rPr>
          <w:rFonts w:ascii="Times New Roman;serif" w:hAnsi="Times New Roman;serif"/>
          <w:b w:val="false"/>
          <w:color w:val="000000"/>
          <w:sz w:val="22"/>
        </w:rPr>
      </w:pPr>
      <w:r>
        <w:rPr>
          <w:rFonts w:ascii="Times New Roman;serif" w:hAnsi="Times New Roman;serif"/>
          <w:b w:val="false"/>
          <w:color w:val="000000"/>
          <w:sz w:val="22"/>
        </w:rPr>
        <w:t>(i)    commences a voluntary case,</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2340"/>
        <w:jc w:val="left"/>
        <w:rPr>
          <w:rFonts w:ascii="Times New Roman;serif" w:hAnsi="Times New Roman;serif"/>
          <w:b w:val="false"/>
          <w:color w:val="000000"/>
          <w:sz w:val="22"/>
        </w:rPr>
      </w:pPr>
      <w:r>
        <w:rPr>
          <w:rFonts w:ascii="Times New Roman;serif" w:hAnsi="Times New Roman;serif"/>
          <w:b w:val="false"/>
          <w:color w:val="000000"/>
          <w:sz w:val="22"/>
        </w:rPr>
        <w:t>(ii)    consents to the entry of an order for relief against it in an involuntary case,</w:t>
      </w:r>
    </w:p>
    <w:p>
      <w:pPr>
        <w:pStyle w:val="TextBody"/>
        <w:bidi w:val="0"/>
        <w:spacing w:lineRule="auto" w:line="288" w:before="0" w:after="240"/>
        <w:ind w:left="0" w:right="0" w:firstLine="2340"/>
        <w:jc w:val="left"/>
        <w:rPr>
          <w:rFonts w:ascii="Times New Roman;serif" w:hAnsi="Times New Roman;serif"/>
          <w:b w:val="false"/>
          <w:color w:val="000000"/>
          <w:sz w:val="22"/>
        </w:rPr>
      </w:pPr>
      <w:r>
        <w:rPr>
          <w:rFonts w:ascii="Times New Roman;serif" w:hAnsi="Times New Roman;serif"/>
          <w:b w:val="false"/>
          <w:color w:val="000000"/>
          <w:sz w:val="22"/>
        </w:rPr>
        <w:t>(iii)    consents to the appointment of a Custodian of it or for all or substantially all of its property,</w:t>
      </w:r>
    </w:p>
    <w:p>
      <w:pPr>
        <w:pStyle w:val="TextBody"/>
        <w:bidi w:val="0"/>
        <w:spacing w:lineRule="auto" w:line="288" w:before="0" w:after="240"/>
        <w:ind w:left="0" w:right="0" w:firstLine="2340"/>
        <w:jc w:val="left"/>
        <w:rPr>
          <w:rFonts w:ascii="Times New Roman;serif" w:hAnsi="Times New Roman;serif"/>
          <w:b w:val="false"/>
          <w:color w:val="000000"/>
          <w:sz w:val="22"/>
        </w:rPr>
      </w:pPr>
      <w:r>
        <w:rPr>
          <w:rFonts w:ascii="Times New Roman;serif" w:hAnsi="Times New Roman;serif"/>
          <w:b w:val="false"/>
          <w:color w:val="000000"/>
          <w:sz w:val="22"/>
        </w:rPr>
        <w:t>(iv)    makes a general assignment for the benefit of its creditors, or</w:t>
      </w:r>
    </w:p>
    <w:p>
      <w:pPr>
        <w:pStyle w:val="TextBody"/>
        <w:bidi w:val="0"/>
        <w:spacing w:lineRule="auto" w:line="288" w:before="0" w:after="240"/>
        <w:ind w:left="0" w:right="0" w:firstLine="2340"/>
        <w:jc w:val="left"/>
        <w:rPr>
          <w:rFonts w:ascii="Times New Roman;serif" w:hAnsi="Times New Roman;serif"/>
          <w:b w:val="false"/>
          <w:color w:val="000000"/>
          <w:sz w:val="22"/>
        </w:rPr>
      </w:pPr>
      <w:r>
        <w:rPr>
          <w:rFonts w:ascii="Times New Roman;serif" w:hAnsi="Times New Roman;serif"/>
          <w:b w:val="false"/>
          <w:color w:val="000000"/>
          <w:sz w:val="22"/>
        </w:rPr>
        <w:t>(v)    generally is unable to pay its debts as the same become due; or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    a court of competent jurisdiction enters an order or decree under any Bankruptcy Law that:</w:t>
      </w:r>
    </w:p>
    <w:p>
      <w:pPr>
        <w:pStyle w:val="TextBody"/>
        <w:bidi w:val="0"/>
        <w:spacing w:lineRule="auto" w:line="288" w:before="0" w:after="240"/>
        <w:ind w:left="0" w:right="0" w:firstLine="2340"/>
        <w:jc w:val="left"/>
        <w:rPr>
          <w:rFonts w:ascii="Times New Roman;serif" w:hAnsi="Times New Roman;serif"/>
          <w:b w:val="false"/>
          <w:color w:val="000000"/>
          <w:sz w:val="22"/>
        </w:rPr>
      </w:pPr>
      <w:r>
        <w:rPr>
          <w:rFonts w:ascii="Times New Roman;serif" w:hAnsi="Times New Roman;serif"/>
          <w:b w:val="false"/>
          <w:color w:val="000000"/>
          <w:sz w:val="22"/>
        </w:rPr>
        <w:t>(i)    is for relief against the Company in an involuntary case,</w:t>
      </w:r>
    </w:p>
    <w:p>
      <w:pPr>
        <w:pStyle w:val="TextBody"/>
        <w:bidi w:val="0"/>
        <w:spacing w:lineRule="auto" w:line="288" w:before="0" w:after="240"/>
        <w:ind w:left="0" w:right="0" w:firstLine="2340"/>
        <w:jc w:val="left"/>
        <w:rPr>
          <w:rFonts w:ascii="Times New Roman;serif" w:hAnsi="Times New Roman;serif"/>
          <w:b w:val="false"/>
          <w:color w:val="000000"/>
          <w:sz w:val="22"/>
        </w:rPr>
      </w:pPr>
      <w:r>
        <w:rPr>
          <w:rFonts w:ascii="Times New Roman;serif" w:hAnsi="Times New Roman;serif"/>
          <w:b w:val="false"/>
          <w:color w:val="000000"/>
          <w:sz w:val="22"/>
        </w:rPr>
        <w:t>(ii)    appoints a Custodian of the Company or for all or substantially all of its property, or</w:t>
      </w:r>
    </w:p>
    <w:p>
      <w:pPr>
        <w:pStyle w:val="TextBody"/>
        <w:bidi w:val="0"/>
        <w:spacing w:lineRule="auto" w:line="288" w:before="0" w:after="240"/>
        <w:ind w:left="0" w:right="0" w:firstLine="2340"/>
        <w:jc w:val="left"/>
        <w:rPr>
          <w:rFonts w:ascii="Times New Roman;serif" w:hAnsi="Times New Roman;serif"/>
          <w:b w:val="false"/>
          <w:color w:val="000000"/>
          <w:sz w:val="22"/>
        </w:rPr>
      </w:pPr>
      <w:r>
        <w:rPr>
          <w:rFonts w:ascii="Times New Roman;serif" w:hAnsi="Times New Roman;serif"/>
          <w:b w:val="false"/>
          <w:color w:val="000000"/>
          <w:sz w:val="22"/>
        </w:rPr>
        <w:t>(iii)    orders the liquidation of the Company,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and the order or decree remains unstayed and in effect for 60 days; or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(f)    any other Event of Default provided with respect to Securities of that Series, which is specified in a Board Resolution, a supplemental indenture hereto or an Officer’s Certificate, in accordance with Section 2.2.18.</w:t>
      </w:r>
    </w:p>
    <w:p>
      <w:pPr>
        <w:pStyle w:val="TextBody"/>
        <w:bidi w:val="0"/>
        <w:spacing w:lineRule="auto" w:line="288" w:before="0" w:after="240"/>
        <w:ind w:left="0" w:right="0" w:firstLine="990"/>
        <w:jc w:val="left"/>
        <w:rPr/>
      </w:pPr>
      <w:r>
        <w:rPr>
          <w:rFonts w:ascii="Times New Roman;serif" w:hAnsi="Times New Roman;serif"/>
          <w:b w:val="false"/>
          <w:color w:val="000000"/>
          <w:sz w:val="22"/>
        </w:rPr>
        <w:t>The term “</w:t>
      </w:r>
      <w:r>
        <w:rPr>
          <w:rFonts w:ascii="Times New Roman;serif" w:hAnsi="Times New Roman;serif"/>
          <w:b w:val="false"/>
          <w:i/>
          <w:color w:val="000000"/>
          <w:sz w:val="22"/>
        </w:rPr>
        <w:t>Bankruptcy Law</w:t>
      </w:r>
      <w:r>
        <w:rPr>
          <w:color w:val="000000"/>
        </w:rPr>
        <w:t xml:space="preserve">” </w:t>
      </w:r>
      <w:r>
        <w:rPr>
          <w:rFonts w:ascii="Times New Roman;serif" w:hAnsi="Times New Roman;serif"/>
          <w:b w:val="false"/>
          <w:color w:val="000000"/>
          <w:sz w:val="22"/>
        </w:rPr>
        <w:t>means title 11, U.S. Code or any similar U.S. Federal or State law for the relief of debtors. The term “</w:t>
      </w:r>
      <w:r>
        <w:rPr>
          <w:rFonts w:ascii="Times New Roman;serif" w:hAnsi="Times New Roman;serif"/>
          <w:b w:val="false"/>
          <w:i/>
          <w:color w:val="000000"/>
          <w:sz w:val="22"/>
        </w:rPr>
        <w:t>Custodian</w:t>
      </w:r>
      <w:r>
        <w:rPr>
          <w:color w:val="000000"/>
        </w:rPr>
        <w:t xml:space="preserve">” </w:t>
      </w:r>
      <w:r>
        <w:rPr>
          <w:rFonts w:ascii="Times New Roman;serif" w:hAnsi="Times New Roman;serif"/>
          <w:b w:val="false"/>
          <w:color w:val="000000"/>
          <w:sz w:val="22"/>
        </w:rPr>
        <w:t>means any receiver, trustee, assignee, liquidator or similar official under any Bankruptcy Law.</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6.2    </w:t>
      </w:r>
      <w:r>
        <w:rPr>
          <w:rFonts w:ascii="Times New Roman;serif" w:hAnsi="Times New Roman;serif"/>
          <w:b w:val="false"/>
          <w:color w:val="000000"/>
          <w:sz w:val="22"/>
          <w:u w:val="single"/>
        </w:rPr>
        <w:t>Acceleration of Maturity; Rescission and Annulment</w:t>
      </w:r>
      <w:r>
        <w:rPr>
          <w:rFonts w:ascii="Times New Roman;serif" w:hAnsi="Times New Roman;serif"/>
          <w:b w:val="false"/>
          <w:color w:val="000000"/>
          <w:sz w:val="22"/>
        </w:rPr>
        <w:t>.</w:t>
      </w:r>
    </w:p>
    <w:p>
      <w:pPr>
        <w:pStyle w:val="TextBody"/>
        <w:bidi w:val="0"/>
        <w:spacing w:lineRule="auto" w:line="288" w:before="0" w:after="240"/>
        <w:ind w:left="0" w:right="0" w:firstLine="990"/>
        <w:jc w:val="left"/>
        <w:rPr/>
      </w:pPr>
      <w:r>
        <w:rPr>
          <w:rFonts w:ascii="Times New Roman;serif" w:hAnsi="Times New Roman;serif"/>
          <w:b w:val="false"/>
          <w:color w:val="000000"/>
          <w:sz w:val="22"/>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serif" w:hAnsi="Times New Roman;serif"/>
          <w:b w:val="false"/>
          <w:i/>
          <w:color w:val="000000"/>
          <w:sz w:val="22"/>
        </w:rPr>
        <w:t>ipso facto</w:t>
      </w:r>
      <w:r>
        <w:rPr>
          <w:color w:val="000000"/>
        </w:rPr>
        <w:t xml:space="preserve"> </w:t>
      </w:r>
      <w:r>
        <w:rPr>
          <w:rFonts w:ascii="Times New Roman;serif" w:hAnsi="Times New Roman;serif"/>
          <w:b w:val="false"/>
          <w:color w:val="000000"/>
          <w:sz w:val="22"/>
        </w:rPr>
        <w:t>become and be immediately due and payable without any declaration or other act on the part of the Trustee or any Holder.</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2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No such rescission shall affect any subsequent Default or impair any right consequent thereon.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6.3    </w:t>
      </w:r>
      <w:r>
        <w:rPr>
          <w:rFonts w:ascii="Times New Roman;serif" w:hAnsi="Times New Roman;serif"/>
          <w:b w:val="false"/>
          <w:color w:val="000000"/>
          <w:sz w:val="22"/>
          <w:u w:val="single"/>
        </w:rPr>
        <w:t>Collection of Indebtedness and Suits for Enforcement by Trustee</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Company covenants that if</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default is made in the payment of any interest on any Security when such interest becomes due and payable and such default continues for a period of 30 days, or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default is made in the payment of principal of any Security at the Maturity thereof, or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default is made in the deposit of any sinking fund payment, if any, when and as due by the terms of a Security,</w:t>
      </w:r>
    </w:p>
    <w:p>
      <w:pPr>
        <w:pStyle w:val="TextBody"/>
        <w:bidi w:val="0"/>
        <w:spacing w:lineRule="auto" w:line="288" w:before="0" w:after="240"/>
        <w:jc w:val="left"/>
        <w:rPr/>
      </w:pPr>
      <w:r>
        <w:rPr>
          <w:rFonts w:ascii="Times New Roman;serif" w:hAnsi="Times New Roman;serif"/>
          <w:b w:val="false"/>
          <w:i/>
          <w:color w:val="000000"/>
          <w:sz w:val="22"/>
        </w:rPr>
        <w:t>then</w:t>
      </w:r>
      <w:r>
        <w:rPr>
          <w:rFonts w:ascii="Times New Roman;serif" w:hAnsi="Times New Roman;serif"/>
          <w:b w:val="false"/>
          <w:color w:val="000000"/>
          <w:sz w:val="22"/>
        </w:rPr>
        <w:t>,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6.4    </w:t>
      </w:r>
      <w:r>
        <w:rPr>
          <w:rFonts w:ascii="Times New Roman;serif" w:hAnsi="Times New Roman;serif"/>
          <w:b w:val="false"/>
          <w:color w:val="000000"/>
          <w:sz w:val="22"/>
          <w:u w:val="single"/>
        </w:rPr>
        <w:t>Trustee May File Proofs of Claim</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 xml:space="preserve">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29"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6.5    </w:t>
      </w:r>
      <w:r>
        <w:rPr>
          <w:rFonts w:ascii="Times New Roman;serif" w:hAnsi="Times New Roman;serif"/>
          <w:b w:val="false"/>
          <w:color w:val="000000"/>
          <w:sz w:val="22"/>
          <w:u w:val="single"/>
        </w:rPr>
        <w:t>Trustee May Enforce Claims Without Possession of Securities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6.6    </w:t>
      </w:r>
      <w:r>
        <w:rPr>
          <w:rFonts w:ascii="Times New Roman;serif" w:hAnsi="Times New Roman;serif"/>
          <w:b w:val="false"/>
          <w:color w:val="000000"/>
          <w:sz w:val="22"/>
          <w:u w:val="single"/>
        </w:rPr>
        <w:t>Application of Money Collected</w:t>
      </w:r>
      <w:r>
        <w:rPr>
          <w:rFonts w:ascii="Times New Roman;serif" w:hAnsi="Times New Roman;serif"/>
          <w:b w:val="false"/>
          <w:color w:val="000000"/>
          <w:sz w:val="22"/>
        </w:rPr>
        <w:t>.</w:t>
      </w:r>
    </w:p>
    <w:p>
      <w:pPr>
        <w:pStyle w:val="TextBody"/>
        <w:bidi w:val="0"/>
        <w:spacing w:lineRule="auto" w:line="288" w:before="0" w:after="12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First: To the payment of all amounts due the Trustee under Section 7.7; and</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Third: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0"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6.7    </w:t>
      </w:r>
      <w:r>
        <w:rPr>
          <w:rFonts w:ascii="Times New Roman;serif" w:hAnsi="Times New Roman;serif"/>
          <w:b w:val="false"/>
          <w:color w:val="000000"/>
          <w:sz w:val="22"/>
          <w:u w:val="single"/>
        </w:rPr>
        <w:t>Limitation on Suits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No Holder of any Security of any Series shall have any right to institute any proceeding, judicial or otherwise, with respect to this Indenture, or for the appointment of a receiver or trustee, or for any other remedy hereunder, unless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such Holder has previously given written notice to the Trustee of a continuing Event of Default with respect to the Securities of that Series;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the Holders of not less than 25% in principal amount of the outstanding Securities of that Series shall have made written request to the Trustee to institute proceedings in respect of such Event of Default in its own name as Trustee hereunder;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such Holder or Holders have offered to the Trustee indemnity or security satisfactory to the Trustee against the costs, expenses and liabilities which might be incurred by the Trustee in compliance with such request;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(d)    the Trustee for 60 days after its receipt of such notice, request and offer of indemnity has failed to institute any such proceeding;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    no direction inconsistent with such written request has been given to the Trustee during such 60-day period by the Holders of a majority in principal amount of the outstanding Securities of that Series;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6.8    </w:t>
      </w:r>
      <w:r>
        <w:rPr>
          <w:rFonts w:ascii="Times New Roman;serif" w:hAnsi="Times New Roman;serif"/>
          <w:b w:val="false"/>
          <w:color w:val="000000"/>
          <w:sz w:val="22"/>
          <w:u w:val="single"/>
        </w:rPr>
        <w:t>Unconditional Right of Holders to Receive Principal and Interest</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6.9    </w:t>
      </w:r>
      <w:r>
        <w:rPr>
          <w:rFonts w:ascii="Times New Roman;serif" w:hAnsi="Times New Roman;serif"/>
          <w:b w:val="false"/>
          <w:color w:val="000000"/>
          <w:sz w:val="22"/>
          <w:u w:val="single"/>
        </w:rPr>
        <w:t>Restoration of Rights and Remedies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1"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6.10    </w:t>
      </w:r>
      <w:r>
        <w:rPr>
          <w:rFonts w:ascii="Times New Roman;serif" w:hAnsi="Times New Roman;serif"/>
          <w:b w:val="false"/>
          <w:color w:val="000000"/>
          <w:sz w:val="22"/>
          <w:u w:val="single"/>
        </w:rPr>
        <w:t>Rights and Remedies Cumulative</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6.11    </w:t>
      </w:r>
      <w:r>
        <w:rPr>
          <w:rFonts w:ascii="Times New Roman;serif" w:hAnsi="Times New Roman;serif"/>
          <w:b w:val="false"/>
          <w:color w:val="000000"/>
          <w:sz w:val="22"/>
          <w:u w:val="single"/>
        </w:rPr>
        <w:t>Delay or Omission Not Waiver</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6.12    </w:t>
      </w:r>
      <w:r>
        <w:rPr>
          <w:rFonts w:ascii="Times New Roman;serif" w:hAnsi="Times New Roman;serif"/>
          <w:b w:val="false"/>
          <w:color w:val="000000"/>
          <w:sz w:val="22"/>
          <w:u w:val="single"/>
        </w:rPr>
        <w:t>Control by Holders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such direction shall not be in conflict with any rule of law or with this Indenture,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the Trustee may take any other action deemed proper by the Trustee which is not inconsistent with such direction,</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(d)    prior to taking any action as directed under this Section 6.12, the Trustee shall be entitled to indemnity satisfactory to it against the losses, costs, expenses and liabilities which might be incurred by it in compliance with such request or direction.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6.13    </w:t>
      </w:r>
      <w:r>
        <w:rPr>
          <w:rFonts w:ascii="Times New Roman;serif" w:hAnsi="Times New Roman;serif"/>
          <w:b w:val="false"/>
          <w:color w:val="000000"/>
          <w:sz w:val="22"/>
          <w:u w:val="single"/>
        </w:rPr>
        <w:t>Waiver of Past Defaults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2"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6.14    </w:t>
      </w:r>
      <w:r>
        <w:rPr>
          <w:rFonts w:ascii="Times New Roman;serif" w:hAnsi="Times New Roman;serif"/>
          <w:b w:val="false"/>
          <w:color w:val="000000"/>
          <w:sz w:val="22"/>
          <w:u w:val="single"/>
        </w:rPr>
        <w:t>Undertaking for Costs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ARTICLE VII</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TRUSTEE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7.1    </w:t>
      </w:r>
      <w:r>
        <w:rPr>
          <w:rFonts w:ascii="Times New Roman;serif" w:hAnsi="Times New Roman;serif"/>
          <w:b w:val="false"/>
          <w:color w:val="000000"/>
          <w:sz w:val="22"/>
          <w:u w:val="single"/>
        </w:rPr>
        <w:t>Duties of Trustee</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Except during the continuance of an Event of Default:</w:t>
      </w:r>
    </w:p>
    <w:p>
      <w:pPr>
        <w:pStyle w:val="TextBody"/>
        <w:bidi w:val="0"/>
        <w:spacing w:lineRule="auto" w:line="288" w:before="0" w:after="24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(i)    The Trustee need perform only those duties that are specifically set forth in this Indenture and no others, and no implied covenants or obligations shall be read into this Indenture against the Trustee.</w:t>
      </w:r>
    </w:p>
    <w:p>
      <w:pPr>
        <w:pStyle w:val="TextBody"/>
        <w:bidi w:val="0"/>
        <w:spacing w:lineRule="auto" w:line="288" w:before="0" w:after="240"/>
        <w:ind w:left="0" w:right="0" w:firstLine="2160"/>
        <w:jc w:val="left"/>
        <w:rPr/>
      </w:pPr>
      <w:r>
        <w:rPr>
          <w:rFonts w:ascii="Times New Roman;serif" w:hAnsi="Times New Roman;serif"/>
          <w:b w:val="false"/>
          <w:color w:val="000000"/>
          <w:sz w:val="22"/>
        </w:rPr>
        <w:t xml:space="preserve">(ii)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serif" w:hAnsi="Times New Roman;serif"/>
          <w:b w:val="false"/>
          <w:color w:val="000000"/>
          <w:sz w:val="22"/>
          <w:u w:val="single"/>
        </w:rPr>
        <w:t>however</w:t>
      </w:r>
      <w:r>
        <w:rPr>
          <w:rFonts w:ascii="Times New Roman;serif" w:hAnsi="Times New Roman;serif"/>
          <w:b w:val="false"/>
          <w:color w:val="000000"/>
          <w:sz w:val="22"/>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The Trustee may not be relieved from liability for its own negligent action, its own negligent failure to act or its own willful misconduct, except that:</w:t>
      </w:r>
    </w:p>
    <w:p>
      <w:pPr>
        <w:pStyle w:val="TextBody"/>
        <w:bidi w:val="0"/>
        <w:spacing w:lineRule="auto" w:line="288" w:before="0" w:after="24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(i)    This paragraph does not limit the effect of paragraph (b) of this Section.</w:t>
      </w:r>
    </w:p>
    <w:p>
      <w:pPr>
        <w:pStyle w:val="TextBody"/>
        <w:bidi w:val="0"/>
        <w:spacing w:lineRule="auto" w:line="288" w:before="0" w:after="24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(ii)    The Trustee shall not be liable for any error of judgment made in good faith by a Responsible Officer, unless it is proved in a court of competent jurisdiction that the Trustee was negligent in ascertaining the pertinent facts.</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(d)    Every provision of this Indenture that in any way relates to the Trustee is subject to paragraph (a), (b) and (c) of this Section.</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    The Trustee may refuse to perform any duty or exercise any right or power unless it receives indemnity satisfactory to it against the losses, costs, expenses and liabilities which might be incurred by it in performing such duty or exercising such right or power.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(f)    The Trustee shall not be liable for interest or investment on any money received by it except as the Trustee may agree in writing with the Company. Money held in trust by the Trustee need not be segregated from other funds except to the extent required by law.</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(g)    No provision of this Indenture shall require the Trustee to expend or risk its own funds or otherwise incur any financial liability in the performance of any of its duties, or in the exercise of any of its rights or powers.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(h)    The Paying Agent, the Registrar and any authenticating agent shall be entitled to the protections and immunities as are set forth in paragraphs (e), (f) and (g) of this Section and in Section 7.2, each with respect to the Trustee.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7.2    </w:t>
      </w:r>
      <w:r>
        <w:rPr>
          <w:rFonts w:ascii="Times New Roman;serif" w:hAnsi="Times New Roman;serif"/>
          <w:b w:val="false"/>
          <w:color w:val="000000"/>
          <w:sz w:val="22"/>
          <w:u w:val="single"/>
        </w:rPr>
        <w:t>Rights of Trustee</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(d)    The Trustee shall not be liable for any action it takes or omits to take in good faith which it believes to be authorized or within its rights or powers, provided that the Trustee’s conduct does not constitute willful misconduct or negligence.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    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4"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(f)    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(h)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    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(j)    The permissive right of the Trustee to take the actions permitted by this Indenture shall not be construed as an obligation or duty to do so.</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(k)    No bond or surety shall be required with respect to performance of Trustee’s duties and powers.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(l)    Under no circumstances shall the Trustee be liable in its individual capacity for the obligations evidenced by the Securities.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(m)    Any request or direction of the Company mentioned herein shall be sufficiently evidenced by a Company Order and any resolution of the Board of Directors may be sufficiently evidenced by a Board Resolution.</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(n)    The Trustee may request that the Company deliver a certificate setting forth the names of individuals and/or titles of officers authorized at such time to take specified actions pursuant to this Indenture.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(o)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7.3    </w:t>
      </w:r>
      <w:r>
        <w:rPr>
          <w:rFonts w:ascii="Times New Roman;serif" w:hAnsi="Times New Roman;serif"/>
          <w:b w:val="false"/>
          <w:color w:val="000000"/>
          <w:sz w:val="22"/>
          <w:u w:val="single"/>
        </w:rPr>
        <w:t>Individual Rights of Trustee</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 xml:space="preserve">The Trustee in its individual or any other capacity may become the owner or pledgee of Securities and may otherwise deal with the Company or an Affiliate of the Company with the same rights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5"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it would have if it were not Trustee. Any Agent may do the same with like rights. The Trustee is also subject to Sections 7.10 and 7.11.</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7.4    </w:t>
      </w:r>
      <w:r>
        <w:rPr>
          <w:rFonts w:ascii="Times New Roman;serif" w:hAnsi="Times New Roman;serif"/>
          <w:b w:val="false"/>
          <w:color w:val="000000"/>
          <w:sz w:val="22"/>
          <w:u w:val="single"/>
        </w:rPr>
        <w:t>Trustee’s Disclaimer</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7.5    </w:t>
      </w:r>
      <w:r>
        <w:rPr>
          <w:rFonts w:ascii="Times New Roman;serif" w:hAnsi="Times New Roman;serif"/>
          <w:b w:val="false"/>
          <w:color w:val="000000"/>
          <w:sz w:val="22"/>
          <w:u w:val="single"/>
        </w:rPr>
        <w:t>Notice of Defaults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7.6    </w:t>
      </w:r>
      <w:r>
        <w:rPr>
          <w:rFonts w:ascii="Times New Roman;serif" w:hAnsi="Times New Roman;serif"/>
          <w:b w:val="false"/>
          <w:color w:val="000000"/>
          <w:sz w:val="22"/>
          <w:u w:val="single"/>
        </w:rPr>
        <w:t>Reports by Trustee to Holders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Within 60 days after each                , commencing                , 20  , the Trustee shall transmit by mail to all Securityholders, as their names and addresses appear on the register kept by the Registrar, a brief report dated as of such anniversary date, in accordance with, and to the extent required under, TIA § 313.</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7.7    </w:t>
      </w:r>
      <w:r>
        <w:rPr>
          <w:rFonts w:ascii="Times New Roman;serif" w:hAnsi="Times New Roman;serif"/>
          <w:b w:val="false"/>
          <w:color w:val="000000"/>
          <w:sz w:val="22"/>
          <w:u w:val="single"/>
        </w:rPr>
        <w:t>Compensation and Indemnity</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6"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When the Trustee incurs expenses or renders services after an Event of Default specified in Section 6.1(d) or (e) occurs, the expenses and the compensation for the services are intended to constitute expenses of administration under any Bankruptcy Law.</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provisions of this Section shall survive the termination of this Indenture or the resignation or removal of the Trustee.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7.8    </w:t>
      </w:r>
      <w:r>
        <w:rPr>
          <w:rFonts w:ascii="Times New Roman;serif" w:hAnsi="Times New Roman;serif"/>
          <w:b w:val="false"/>
          <w:color w:val="000000"/>
          <w:sz w:val="22"/>
          <w:u w:val="single"/>
        </w:rPr>
        <w:t>Replacement of Trustee</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 resignation or removal of the Trustee and appointment of a successor Trustee shall become effective only upon the successor Trustee’s acceptance of appointment as provided in this Section.</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the Trustee fails to comply with Section 7.10;</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the Trustee is adjudged a bankrupt or an insolvent or an order for relief is entered with respect to the Trustee under any Bankruptcy Law;</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a Custodian or public officer takes charge of the Trustee or its property; or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(d)    the Trustee becomes incapable of acting.</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37"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 successor Trustee shall deliver a written acceptance of its appointment to the retiring Trustee and to the Company. Promptly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7.9    </w:t>
      </w:r>
      <w:r>
        <w:rPr>
          <w:rFonts w:ascii="Times New Roman;serif" w:hAnsi="Times New Roman;serif"/>
          <w:b w:val="false"/>
          <w:color w:val="000000"/>
          <w:sz w:val="22"/>
          <w:u w:val="single"/>
        </w:rPr>
        <w:t>Successor Trustee by Merger, Etc</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7.10    </w:t>
      </w:r>
      <w:r>
        <w:rPr>
          <w:rFonts w:ascii="Times New Roman;serif" w:hAnsi="Times New Roman;serif"/>
          <w:b w:val="false"/>
          <w:color w:val="000000"/>
          <w:sz w:val="22"/>
          <w:u w:val="single"/>
        </w:rPr>
        <w:t>Eligibility; Disqualification</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7.11    </w:t>
      </w:r>
      <w:r>
        <w:rPr>
          <w:rFonts w:ascii="Times New Roman;serif" w:hAnsi="Times New Roman;serif"/>
          <w:b w:val="false"/>
          <w:color w:val="000000"/>
          <w:sz w:val="22"/>
          <w:u w:val="single"/>
        </w:rPr>
        <w:t>Preferential Collection of Claims Against Company</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Trustee is subject to TIA § 311(a), excluding any creditor relationship listed in TIA § 311(b). A Trustee who has resigned or been removed shall be subject to TIA § 311(a) to the extent indicated.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ARTICLE VIII</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SATISFACTION AND DISCHARGE; DEFEASANCE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8.1    </w:t>
      </w:r>
      <w:r>
        <w:rPr>
          <w:rFonts w:ascii="Times New Roman;serif" w:hAnsi="Times New Roman;serif"/>
          <w:b w:val="false"/>
          <w:color w:val="000000"/>
          <w:sz w:val="22"/>
          <w:u w:val="single"/>
        </w:rPr>
        <w:t>Satisfaction and Discharge of Indenture</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 xml:space="preserve">This Indenture shall upon Company Order be discharged with respect to the Securities of any Series and cease to be of further effect as to all Securities of such Series (except as hereinafter provided in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38"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this Section 8.1), and the Trustee, at the expense of the Company, shall execute instruments acknowledging satisfaction and discharge of this Indenture, when</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either</w:t>
      </w:r>
    </w:p>
    <w:p>
      <w:pPr>
        <w:pStyle w:val="TextBody"/>
        <w:bidi w:val="0"/>
        <w:spacing w:lineRule="auto" w:line="288" w:before="0" w:after="240"/>
        <w:ind w:left="0" w:right="0" w:firstLine="2340"/>
        <w:jc w:val="left"/>
        <w:rPr>
          <w:rFonts w:ascii="Times New Roman;serif" w:hAnsi="Times New Roman;serif"/>
          <w:b w:val="false"/>
          <w:color w:val="000000"/>
          <w:sz w:val="22"/>
        </w:rPr>
      </w:pPr>
      <w:r>
        <w:rPr>
          <w:rFonts w:ascii="Times New Roman;serif" w:hAnsi="Times New Roman;serif"/>
          <w:b w:val="false"/>
          <w:color w:val="000000"/>
          <w:sz w:val="22"/>
        </w:rPr>
        <w:t>(i)    all Securities of such Series theretofore authenticated and delivered (other than Securities that have been destroyed, lost or stolen and that have been replaced or paid) have been delivered to the Trustee for cancellation; or</w:t>
      </w:r>
    </w:p>
    <w:p>
      <w:pPr>
        <w:pStyle w:val="TextBody"/>
        <w:bidi w:val="0"/>
        <w:spacing w:lineRule="auto" w:line="288" w:before="0" w:after="240"/>
        <w:ind w:left="0" w:right="0" w:firstLine="2340"/>
        <w:jc w:val="left"/>
        <w:rPr>
          <w:rFonts w:ascii="Times New Roman;serif" w:hAnsi="Times New Roman;serif"/>
          <w:b w:val="false"/>
          <w:color w:val="000000"/>
          <w:sz w:val="22"/>
        </w:rPr>
      </w:pPr>
      <w:r>
        <w:rPr>
          <w:rFonts w:ascii="Times New Roman;serif" w:hAnsi="Times New Roman;serif"/>
          <w:b w:val="false"/>
          <w:color w:val="000000"/>
          <w:sz w:val="22"/>
        </w:rPr>
        <w:t>(ii)    all such Securities of such Series not theretofore delivered to the Trustee for cancellation</w:t>
      </w:r>
    </w:p>
    <w:p>
      <w:pPr>
        <w:pStyle w:val="TextBody"/>
        <w:bidi w:val="0"/>
        <w:spacing w:lineRule="auto" w:line="288" w:before="0" w:after="240"/>
        <w:ind w:left="0" w:right="0" w:firstLine="2880"/>
        <w:jc w:val="left"/>
        <w:rPr>
          <w:rFonts w:ascii="Times New Roman;serif" w:hAnsi="Times New Roman;serif"/>
          <w:b w:val="false"/>
          <w:color w:val="000000"/>
          <w:sz w:val="22"/>
        </w:rPr>
      </w:pPr>
      <w:r>
        <w:rPr>
          <w:rFonts w:ascii="Times New Roman;serif" w:hAnsi="Times New Roman;serif"/>
          <w:b w:val="false"/>
          <w:color w:val="000000"/>
          <w:sz w:val="22"/>
        </w:rPr>
        <w:t>(1)    have become due and payable by reason of sending a notice of redemption or otherwise, or</w:t>
      </w:r>
    </w:p>
    <w:p>
      <w:pPr>
        <w:pStyle w:val="TextBody"/>
        <w:bidi w:val="0"/>
        <w:spacing w:lineRule="auto" w:line="288" w:before="0" w:after="240"/>
        <w:ind w:left="0" w:right="0" w:firstLine="2880"/>
        <w:jc w:val="left"/>
        <w:rPr>
          <w:rFonts w:ascii="Times New Roman;serif" w:hAnsi="Times New Roman;serif"/>
          <w:b w:val="false"/>
          <w:color w:val="000000"/>
          <w:sz w:val="22"/>
        </w:rPr>
      </w:pPr>
      <w:r>
        <w:rPr>
          <w:rFonts w:ascii="Times New Roman;serif" w:hAnsi="Times New Roman;serif"/>
          <w:b w:val="false"/>
          <w:color w:val="000000"/>
          <w:sz w:val="22"/>
        </w:rPr>
        <w:t>(2)    will become due and payable at their Stated Maturity within one year, or</w:t>
      </w:r>
    </w:p>
    <w:p>
      <w:pPr>
        <w:pStyle w:val="TextBody"/>
        <w:bidi w:val="0"/>
        <w:spacing w:lineRule="auto" w:line="288" w:before="0" w:after="240"/>
        <w:ind w:left="0" w:right="0" w:firstLine="2880"/>
        <w:jc w:val="left"/>
        <w:rPr>
          <w:rFonts w:ascii="Times New Roman;serif" w:hAnsi="Times New Roman;serif"/>
          <w:b w:val="false"/>
          <w:color w:val="000000"/>
          <w:sz w:val="22"/>
        </w:rPr>
      </w:pPr>
      <w:r>
        <w:rPr>
          <w:rFonts w:ascii="Times New Roman;serif" w:hAnsi="Times New Roman;serif"/>
          <w:b w:val="false"/>
          <w:color w:val="000000"/>
          <w:sz w:val="22"/>
        </w:rPr>
        <w:t>(3)    have been called for redemption or are to be called for redemption within one year under arrangements satisfactory to the Trustee for the giving of notice of redemption by the Trustee in the name, and at the expense, of the Company, or</w:t>
      </w:r>
    </w:p>
    <w:p>
      <w:pPr>
        <w:pStyle w:val="TextBody"/>
        <w:bidi w:val="0"/>
        <w:spacing w:lineRule="auto" w:line="288" w:before="0" w:after="240"/>
        <w:ind w:left="0" w:right="0" w:firstLine="2880"/>
        <w:jc w:val="left"/>
        <w:rPr>
          <w:rFonts w:ascii="Times New Roman;serif" w:hAnsi="Times New Roman;serif"/>
          <w:b w:val="false"/>
          <w:color w:val="000000"/>
          <w:sz w:val="22"/>
        </w:rPr>
      </w:pPr>
      <w:r>
        <w:rPr>
          <w:rFonts w:ascii="Times New Roman;serif" w:hAnsi="Times New Roman;serif"/>
          <w:b w:val="false"/>
          <w:color w:val="000000"/>
          <w:sz w:val="22"/>
        </w:rPr>
        <w:t>(4)    are deemed paid and discharged pursuant to Section 8.3, as applicable;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the Company has paid or caused to be paid all other sums payable hereunder by the Company;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the Company shall have delivered to the Trustee an Officer’s Certificate and an Opinion of Counsel, each stating that all conditions precedent provided for relating to the satisfaction and discharge contemplated by this Section have been complied with.</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8.2    </w:t>
      </w:r>
      <w:r>
        <w:rPr>
          <w:rFonts w:ascii="Times New Roman;serif" w:hAnsi="Times New Roman;serif"/>
          <w:b w:val="false"/>
          <w:color w:val="000000"/>
          <w:sz w:val="22"/>
          <w:u w:val="single"/>
        </w:rPr>
        <w:t>Application of Trust Funds; Indemnification</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(a)    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39"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8.3    </w:t>
      </w:r>
      <w:r>
        <w:rPr>
          <w:rFonts w:ascii="Times New Roman;serif" w:hAnsi="Times New Roman;serif"/>
          <w:b w:val="false"/>
          <w:color w:val="000000"/>
          <w:sz w:val="22"/>
          <w:u w:val="single"/>
        </w:rPr>
        <w:t>Legal Defeasance of Securities of any Series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the provisions of Sections 2.4, 2.5, 2.7, 2.8, 7.7, 8.2, 8.3, 8.5 and 8.6;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the rights, powers, trusts and immunities of the Trustee hereunder and the Company’s obligations in connection therewith;</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provided that, the following conditions shall have been satisfied: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(d)    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0"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    such deposit will not result in a breach or violation of, or constitute a default under, this Indenture or any other agreement or instrument to which the Company is a party or by which it is bound;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(f)    no Default or Event of Default with respect to the Securities of such Series shall have occurred and be continuing on the date of such deposit or during the period ending on the 91st day after such date;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(h)    the Company shall have delivered to the Trustee an Officer’s Certificate stating that the deposit was not made by the Company with the intent of defeating, hindering, delaying or defrauding any other creditors of the Company;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    the Company shall have delivered to the Trustee an Officer’s Certificate and an Opinion of Counsel, each stating that all conditions precedent provided for relating to the defeasance contemplated by this Section have been complied with.</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8.4    </w:t>
      </w:r>
      <w:r>
        <w:rPr>
          <w:rFonts w:ascii="Times New Roman;serif" w:hAnsi="Times New Roman;serif"/>
          <w:b w:val="false"/>
          <w:color w:val="000000"/>
          <w:sz w:val="22"/>
          <w:u w:val="single"/>
        </w:rPr>
        <w:t>Covenant Defeasance</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(a)    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such deposit will not result in a breach or violation of, or constitute a default under, this Indenture or any other agreement or instrument to which the Company is a party or by which it is bound;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no Default or Event of Default with respect to the Securities of such Series shall have occurred and be continuing on the date of such deposit;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(d)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    The Company shall have delivered to the Trustee an Officer’s Certificate stating the deposit was not made by the Company with the intent of defeating, hindering, delaying or defrauding any other creditors of the Company;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(f)    The Company shall have delivered to the Trustee an Officer’s Certificate and an Opinion of Counsel, each stating that all conditions precedent herein provided for relating to the covenant defeasance contemplated by this Section have been complied with.</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8.5    </w:t>
      </w:r>
      <w:r>
        <w:rPr>
          <w:rFonts w:ascii="Times New Roman;serif" w:hAnsi="Times New Roman;serif"/>
          <w:b w:val="false"/>
          <w:color w:val="000000"/>
          <w:sz w:val="22"/>
          <w:u w:val="single"/>
        </w:rPr>
        <w:t>Repayment to Company</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8.6    </w:t>
      </w:r>
      <w:r>
        <w:rPr>
          <w:rFonts w:ascii="Times New Roman;serif" w:hAnsi="Times New Roman;serif"/>
          <w:b w:val="false"/>
          <w:color w:val="000000"/>
          <w:sz w:val="22"/>
          <w:u w:val="single"/>
        </w:rPr>
        <w:t>Reinstatement</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2"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ARTICLE IX</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AMENDMENTS AND WAIVERS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9.1    </w:t>
      </w:r>
      <w:r>
        <w:rPr>
          <w:rFonts w:ascii="Times New Roman;serif" w:hAnsi="Times New Roman;serif"/>
          <w:b w:val="false"/>
          <w:color w:val="000000"/>
          <w:sz w:val="22"/>
          <w:u w:val="single"/>
        </w:rPr>
        <w:t>Without Consent of Holders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Company and the Trustee may amend or supplement this Indenture or the Securities of one or more Series without the consent of any Securityholder: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to cure any ambiguity, defect or inconsistency as evidenced by an Officer Certificate;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to comply with Article V;</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to provide for uncertificated Securities in addition to or in place of certificated Securities;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(d)    to add guarantees with respect to Securities of any Series or secure Securities of any Series;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    to surrender any of the Company’s rights or powers under this Indenture;</w:t>
      </w:r>
    </w:p>
    <w:p>
      <w:pPr>
        <w:pStyle w:val="TextBody"/>
        <w:bidi w:val="0"/>
        <w:spacing w:lineRule="auto" w:line="288" w:before="0" w:after="240"/>
        <w:ind w:left="0" w:right="0" w:firstLine="1440"/>
        <w:jc w:val="left"/>
        <w:rPr/>
      </w:pPr>
      <w:r>
        <w:rPr>
          <w:rFonts w:ascii="Times New Roman;serif" w:hAnsi="Times New Roman;serif"/>
          <w:b w:val="false"/>
          <w:color w:val="000000"/>
          <w:sz w:val="22"/>
        </w:rPr>
        <w:t>(f)    to add covenants or events of default for the benefit of the holders of Securities of any Series</w:t>
      </w:r>
      <w:r>
        <w:rPr>
          <w:color w:val="000000"/>
          <w:shd w:fill="FFFFFF" w:val="clear"/>
        </w:rPr>
        <w:t xml:space="preserve"> </w:t>
      </w:r>
      <w:r>
        <w:rPr>
          <w:rFonts w:ascii="Times New Roman;serif" w:hAnsi="Times New Roman;serif"/>
          <w:b w:val="false"/>
          <w:color w:val="000000"/>
          <w:sz w:val="22"/>
          <w:shd w:fill="FFFFFF" w:val="clear"/>
        </w:rPr>
        <w:t>(and if such covenants or events of default are to be for the benefit of less than all Series of Securities, stating that such covenants or events of default, as applicable, are expressly being included solely for the benefit of such Series)</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(g)    to comply with the applicable procedures of the applicable depositary;</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(h)    to make any change that does not adversely affect the rights of any Securityholder;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    to provide for the issuance of and establish the form and terms and conditions of Securities of any Series as permitted by this Indenture;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(k)    to comply with requirements of the SEC in order to effect or maintain the qualification of this Indenture under the TIA;</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3"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(l)    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    to conform any provision of this Indenture, in so far as it relates to the Securities of such Series, to the description of the Securities of such Series in the prospectus supplement relation to the offering of the Securities of such Series.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9.2    </w:t>
      </w:r>
      <w:r>
        <w:rPr>
          <w:rFonts w:ascii="Times New Roman;serif" w:hAnsi="Times New Roman;serif"/>
          <w:b w:val="false"/>
          <w:color w:val="000000"/>
          <w:sz w:val="22"/>
          <w:u w:val="single"/>
        </w:rPr>
        <w:t>With Consent of Holders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9.3    </w:t>
      </w:r>
      <w:r>
        <w:rPr>
          <w:rFonts w:ascii="Times New Roman;serif" w:hAnsi="Times New Roman;serif"/>
          <w:b w:val="false"/>
          <w:color w:val="000000"/>
          <w:sz w:val="22"/>
          <w:u w:val="single"/>
        </w:rPr>
        <w:t>Limitations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Without the consent of each Securityholder affected, an amendment or waiver may not: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reduce the principal amount of Securities whose Holders must consent to an amendment, supplement or waiver;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reduce the rate of or extend the time for payment of interest (including default interest) on any Security;</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reduce the principal or change the Stated Maturity of any Security or reduce the amount of, or postpone the date fixed for, the payment of any sinking fund or analogous obligation;</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(d)    reduce the principal amount of Discount Securities payable upon acceleration of the maturity thereof;</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(e)    waive a Default or Event of Default in the payment of the principal of or interest, if any, on any Security (except a rescission of acceleration of the Securities of any Series by the Holders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of at least a majority in principal amount of the outstanding Securities of such Series and a waiver of the payment default that resulted from such acceleration);</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(f)    make the principal of or interest, if any, on any Security payable in any currency other than that stated in the Security;</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(g)    make any change in Sections 6.8, 6.13 or 9.3 (this sentence); or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(h)    waive a redemption payment with respect to any Security, provided that such redemption is made at the Company’s option.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9.4    </w:t>
      </w:r>
      <w:r>
        <w:rPr>
          <w:rFonts w:ascii="Times New Roman;serif" w:hAnsi="Times New Roman;serif"/>
          <w:b w:val="false"/>
          <w:color w:val="000000"/>
          <w:sz w:val="22"/>
          <w:u w:val="single"/>
        </w:rPr>
        <w:t>Compliance with Trust Indenture Act</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Every amendment to this Indenture or the Securities of one or more Series shall be set forth in a supplemental indenture hereto that complies with the TIA as then in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9.5    </w:t>
      </w:r>
      <w:r>
        <w:rPr>
          <w:rFonts w:ascii="Times New Roman;serif" w:hAnsi="Times New Roman;serif"/>
          <w:b w:val="false"/>
          <w:color w:val="000000"/>
          <w:sz w:val="22"/>
          <w:u w:val="single"/>
        </w:rPr>
        <w:t>Revocation and Effect of Consents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9.6    </w:t>
      </w:r>
      <w:r>
        <w:rPr>
          <w:rFonts w:ascii="Times New Roman;serif" w:hAnsi="Times New Roman;serif"/>
          <w:b w:val="false"/>
          <w:color w:val="000000"/>
          <w:sz w:val="22"/>
          <w:u w:val="single"/>
        </w:rPr>
        <w:t>Notation on or Exchange of Securities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9.7    </w:t>
      </w:r>
      <w:r>
        <w:rPr>
          <w:rFonts w:ascii="Times New Roman;serif" w:hAnsi="Times New Roman;serif"/>
          <w:b w:val="false"/>
          <w:color w:val="000000"/>
          <w:sz w:val="22"/>
          <w:u w:val="single"/>
        </w:rPr>
        <w:t>Trustee Protected</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ARTICLE X</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MISCELLANEOUS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    </w:t>
      </w:r>
      <w:r>
        <w:rPr>
          <w:rFonts w:ascii="Times New Roman;serif" w:hAnsi="Times New Roman;serif"/>
          <w:b w:val="false"/>
          <w:color w:val="000000"/>
          <w:sz w:val="22"/>
          <w:u w:val="single"/>
        </w:rPr>
        <w:t>Trust Indenture Act Controls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If any provision of this Indenture limits, qualifies, or conflicts with another provision which is required or deemed to be included in this Indenture by the TIA, such required or deemed provision shall control.</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10.2    </w:t>
      </w:r>
      <w:r>
        <w:rPr>
          <w:rFonts w:ascii="Times New Roman;serif" w:hAnsi="Times New Roman;serif"/>
          <w:b w:val="false"/>
          <w:color w:val="000000"/>
          <w:sz w:val="22"/>
          <w:u w:val="single"/>
        </w:rPr>
        <w:t>Notices</w:t>
      </w:r>
      <w:r>
        <w:rPr>
          <w:rFonts w:ascii="Times New Roman;serif" w:hAnsi="Times New Roman;serif"/>
          <w:b w:val="false"/>
          <w:color w:val="000000"/>
          <w:sz w:val="22"/>
        </w:rPr>
        <w:t>.</w:t>
      </w:r>
    </w:p>
    <w:p>
      <w:pPr>
        <w:pStyle w:val="TextBody"/>
        <w:bidi w:val="0"/>
        <w:spacing w:lineRule="auto" w:line="288" w:before="0" w:after="12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to the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Nautilus Biotechnology,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2701 Eastlake Avenue East</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Seattle, Washington 98102</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Attention: General Counsel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with a copy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Wilson Sonsini Goodrich &amp; Rosati, Professional Corporation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12235 El Camino Real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San Diego, CA 92130-3002</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Attention: Robert F. Kornegay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if to the Trustee: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Attention: [__________]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4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Company or the Trustee by notice to the other may designate additional or different addresses for subsequent notices or communications. Any notice or communication delivered to the Trustee shall be deemed effective upon actual receipt thereof.</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If a notice or communication is sent or published in the manner provided above, within the time prescribed, it is duly given, whether or not the Securityholder receives it.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If the Company sends a notice or communication to Securityholders, it shall send a copy to the Trustee and each Agent at the same time.</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10.3    </w:t>
      </w:r>
      <w:r>
        <w:rPr>
          <w:rFonts w:ascii="Times New Roman;serif" w:hAnsi="Times New Roman;serif"/>
          <w:b w:val="false"/>
          <w:color w:val="000000"/>
          <w:sz w:val="22"/>
          <w:u w:val="single"/>
        </w:rPr>
        <w:t>Communication by Holders with Other Holders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10.4    </w:t>
      </w:r>
      <w:r>
        <w:rPr>
          <w:rFonts w:ascii="Times New Roman;serif" w:hAnsi="Times New Roman;serif"/>
          <w:b w:val="false"/>
          <w:color w:val="000000"/>
          <w:sz w:val="22"/>
          <w:u w:val="single"/>
        </w:rPr>
        <w:t>Certificate and Opinion as to Conditions Precedent</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Upon any request or application by the Company to the Trustee to take any action under this Indenture, the Company shall furnish to the Trustee: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an Officer’s Certificate stating that, in the opinion of the signers, all conditions precedent, if any, provided for in this Indenture relating to the proposed action have been complied with;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an Opinion of Counsel stating that, in the opinion of such counsel, all such conditions precedent have been complied with.</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10.5    </w:t>
      </w:r>
      <w:r>
        <w:rPr>
          <w:rFonts w:ascii="Times New Roman;serif" w:hAnsi="Times New Roman;serif"/>
          <w:b w:val="false"/>
          <w:color w:val="000000"/>
          <w:sz w:val="22"/>
          <w:u w:val="single"/>
        </w:rPr>
        <w:t>Statements Required in Certificate or Opinion</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Each certificate or opinion with respect to compliance with a condition or covenant provided for in this Indenture (other than a certificate provided pursuant to TIA § 314(a)(4)) shall comply with the provisions of TIA § 314(e) and shall include: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a statement that the person making such certificate or opinion has read such covenant or condition;</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a brief statement as to the nature and scope of the examination or investigation upon which the statements or opinions contained in such certificate or opinion are based;</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a statement that, in the opinion of such person, he has made such examination or investigation as is necessary to enable him to express an informed opinion as to whether or not such covenant or condition has been complied with;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(d)    a statement as to whether or not, in the opinion of such person, such condition or covenant has been complied with.</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10.6    </w:t>
      </w:r>
      <w:r>
        <w:rPr>
          <w:rFonts w:ascii="Times New Roman;serif" w:hAnsi="Times New Roman;serif"/>
          <w:b w:val="false"/>
          <w:color w:val="000000"/>
          <w:sz w:val="22"/>
          <w:u w:val="single"/>
        </w:rPr>
        <w:t>Rules by Trustee and Agents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Trustee may make reasonable rules for action by or a meeting of Securityholders of one or more Series. Any Agent may make reasonable rules and set reasonable requirements for its functions.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10.7    </w:t>
      </w:r>
      <w:r>
        <w:rPr>
          <w:rFonts w:ascii="Times New Roman;serif" w:hAnsi="Times New Roman;serif"/>
          <w:b w:val="false"/>
          <w:color w:val="000000"/>
          <w:sz w:val="22"/>
          <w:u w:val="single"/>
        </w:rPr>
        <w:t>Legal Holidays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pPr>
      <w:r>
        <w:rPr>
          <w:rFonts w:ascii="Times New Roman;serif" w:hAnsi="Times New Roman;serif"/>
          <w:b w:val="false"/>
          <w:color w:val="000000"/>
          <w:sz w:val="22"/>
        </w:rPr>
        <w:t>A “</w:t>
      </w:r>
      <w:r>
        <w:rPr>
          <w:rFonts w:ascii="Times New Roman;serif" w:hAnsi="Times New Roman;serif"/>
          <w:b w:val="false"/>
          <w:i/>
          <w:color w:val="000000"/>
          <w:sz w:val="22"/>
        </w:rPr>
        <w:t>Legal Holiday</w:t>
      </w:r>
      <w:r>
        <w:rPr>
          <w:color w:val="000000"/>
        </w:rPr>
        <w:t xml:space="preserve">” </w:t>
      </w:r>
      <w:r>
        <w:rPr>
          <w:rFonts w:ascii="Times New Roman;serif" w:hAnsi="Times New Roman;serif"/>
          <w:b w:val="false"/>
          <w:color w:val="000000"/>
          <w:sz w:val="22"/>
        </w:rPr>
        <w:t>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10.8    </w:t>
      </w:r>
      <w:r>
        <w:rPr>
          <w:rFonts w:ascii="Times New Roman;serif" w:hAnsi="Times New Roman;serif"/>
          <w:b w:val="false"/>
          <w:color w:val="000000"/>
          <w:sz w:val="22"/>
          <w:u w:val="single"/>
        </w:rPr>
        <w:t>No Recourse Against Others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10.9    </w:t>
      </w:r>
      <w:r>
        <w:rPr>
          <w:rFonts w:ascii="Times New Roman;serif" w:hAnsi="Times New Roman;serif"/>
          <w:b w:val="false"/>
          <w:color w:val="000000"/>
          <w:sz w:val="22"/>
          <w:u w:val="single"/>
        </w:rPr>
        <w:t>Counterparts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10.10    </w:t>
      </w:r>
      <w:r>
        <w:rPr>
          <w:rFonts w:ascii="Times New Roman;serif" w:hAnsi="Times New Roman;serif"/>
          <w:b w:val="false"/>
          <w:color w:val="000000"/>
          <w:sz w:val="22"/>
          <w:u w:val="single"/>
        </w:rPr>
        <w:t>Governing Law; Waiver of Jury Trial; Consent to Jurisdiction</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color w:val="000000"/>
          <w:sz w:val="22"/>
        </w:rPr>
      </w:pPr>
      <w:r>
        <w:rPr>
          <w:rFonts w:ascii="Times New Roman;serif" w:hAnsi="Times New Roman;serif"/>
          <w:b/>
          <w:color w:val="000000"/>
          <w:sz w:val="22"/>
        </w:rPr>
        <w:t>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 xml:space="preserve">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New York (collectively, the “</w:t>
      </w:r>
      <w:r>
        <w:rPr>
          <w:rFonts w:ascii="Times New Roman;serif" w:hAnsi="Times New Roman;serif"/>
          <w:b w:val="false"/>
          <w:i/>
          <w:color w:val="000000"/>
          <w:sz w:val="22"/>
        </w:rPr>
        <w:t>Specified Courts</w:t>
      </w:r>
      <w:r>
        <w:rPr>
          <w:color w:val="000000"/>
        </w:rPr>
        <w:t>”</w:t>
      </w:r>
      <w:r>
        <w:rPr>
          <w:rFonts w:ascii="Times New Roman;serif" w:hAnsi="Times New Roman;serif"/>
          <w:b w:val="false"/>
          <w:color w:val="000000"/>
          <w:sz w:val="22"/>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10.11    </w:t>
      </w:r>
      <w:r>
        <w:rPr>
          <w:rFonts w:ascii="Times New Roman;serif" w:hAnsi="Times New Roman;serif"/>
          <w:b w:val="false"/>
          <w:color w:val="000000"/>
          <w:sz w:val="22"/>
          <w:u w:val="single"/>
        </w:rPr>
        <w:t>No Adverse Interpretation of Other Agreements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This Indenture may not be used to interpret another indenture, loan or debt agreement of the Company or a Subsidiary of the Company. Any such indenture, loan or debt agreement may not be used to interpret this Indenture.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10.12    </w:t>
      </w:r>
      <w:r>
        <w:rPr>
          <w:rFonts w:ascii="Times New Roman;serif" w:hAnsi="Times New Roman;serif"/>
          <w:b w:val="false"/>
          <w:color w:val="000000"/>
          <w:sz w:val="22"/>
          <w:u w:val="single"/>
        </w:rPr>
        <w:t>Successors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All agreements of the Company in this Indenture and the Securities shall bind its successor. All agreements of the Trustee in this Indenture shall bind its successor.</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10.13    </w:t>
      </w:r>
      <w:r>
        <w:rPr>
          <w:rFonts w:ascii="Times New Roman;serif" w:hAnsi="Times New Roman;serif"/>
          <w:b w:val="false"/>
          <w:color w:val="000000"/>
          <w:sz w:val="22"/>
          <w:u w:val="single"/>
        </w:rPr>
        <w:t>Severability</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10.14    </w:t>
      </w:r>
      <w:r>
        <w:rPr>
          <w:rFonts w:ascii="Times New Roman;serif" w:hAnsi="Times New Roman;serif"/>
          <w:b w:val="false"/>
          <w:color w:val="000000"/>
          <w:sz w:val="22"/>
          <w:u w:val="single"/>
        </w:rPr>
        <w:t>Table of Contents, Headings, Etc</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10.15    </w:t>
      </w:r>
      <w:r>
        <w:rPr>
          <w:rFonts w:ascii="Times New Roman;serif" w:hAnsi="Times New Roman;serif"/>
          <w:b w:val="false"/>
          <w:color w:val="000000"/>
          <w:sz w:val="22"/>
          <w:u w:val="single"/>
        </w:rPr>
        <w:t>Securities in a Foreign Currency</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 xml:space="preserve">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4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denominated in currency other than Dollars in connection with any action taken by Holders of Securities pursuant to the terms of this Indenture.</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All decisions and determinations provided for in the preceding paragraph shall, in the absence of manifest error, to the extent permitted by law, be conclusive for all purposes and irrevocably binding upon the Trustee and all Holders.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10.16    </w:t>
      </w:r>
      <w:r>
        <w:rPr>
          <w:rFonts w:ascii="Times New Roman;serif" w:hAnsi="Times New Roman;serif"/>
          <w:b w:val="false"/>
          <w:color w:val="000000"/>
          <w:sz w:val="22"/>
          <w:u w:val="single"/>
        </w:rPr>
        <w:t>Judgment Currency</w:t>
      </w:r>
      <w:r>
        <w:rPr>
          <w:rFonts w:ascii="Times New Roman;serif" w:hAnsi="Times New Roman;serif"/>
          <w:b w:val="false"/>
          <w:color w:val="000000"/>
          <w:sz w:val="22"/>
        </w:rPr>
        <w:t>.</w:t>
      </w:r>
    </w:p>
    <w:p>
      <w:pPr>
        <w:pStyle w:val="TextBody"/>
        <w:bidi w:val="0"/>
        <w:spacing w:lineRule="auto" w:line="288" w:before="0" w:after="240"/>
        <w:ind w:left="0" w:right="0" w:firstLine="990"/>
        <w:jc w:val="left"/>
        <w:rPr/>
      </w:pPr>
      <w:r>
        <w:rPr>
          <w:rFonts w:ascii="Times New Roman;serif" w:hAnsi="Times New Roman;serif"/>
          <w:b w:val="false"/>
          <w:color w:val="000000"/>
          <w:sz w:val="22"/>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serif" w:hAnsi="Times New Roman;serif"/>
          <w:b w:val="false"/>
          <w:i/>
          <w:color w:val="000000"/>
          <w:sz w:val="22"/>
        </w:rPr>
        <w:t>Required Currency</w:t>
      </w:r>
      <w:r>
        <w:rPr>
          <w:color w:val="000000"/>
        </w:rPr>
        <w:t>”</w:t>
      </w:r>
      <w:r>
        <w:rPr>
          <w:rFonts w:ascii="Times New Roman;serif" w:hAnsi="Times New Roman;serif"/>
          <w:b w:val="false"/>
          <w:color w:val="000000"/>
          <w:sz w:val="22"/>
        </w:rPr>
        <w:t>) into a currency in which a judgment will be rendered (the “</w:t>
      </w:r>
      <w:r>
        <w:rPr>
          <w:rFonts w:ascii="Times New Roman;serif" w:hAnsi="Times New Roman;serif"/>
          <w:b w:val="false"/>
          <w:i/>
          <w:color w:val="000000"/>
          <w:sz w:val="22"/>
        </w:rPr>
        <w:t>Judgment Currency</w:t>
      </w:r>
      <w:r>
        <w:rPr>
          <w:color w:val="000000"/>
        </w:rPr>
        <w:t>”</w:t>
      </w:r>
      <w:r>
        <w:rPr>
          <w:rFonts w:ascii="Times New Roman;serif" w:hAnsi="Times New Roman;serif"/>
          <w:b w:val="false"/>
          <w:color w:val="000000"/>
          <w:sz w:val="22"/>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serif" w:hAnsi="Times New Roman;serif"/>
          <w:b w:val="false"/>
          <w:i/>
          <w:color w:val="000000"/>
          <w:sz w:val="22"/>
        </w:rPr>
        <w:t>New York Banking Day</w:t>
      </w:r>
      <w:r>
        <w:rPr>
          <w:color w:val="000000"/>
        </w:rPr>
        <w:t xml:space="preserve">” </w:t>
      </w:r>
      <w:r>
        <w:rPr>
          <w:rFonts w:ascii="Times New Roman;serif" w:hAnsi="Times New Roman;serif"/>
          <w:b w:val="false"/>
          <w:color w:val="000000"/>
          <w:sz w:val="22"/>
        </w:rPr>
        <w:t>means any day except a Saturday, Sunday or a Legal Holiday in The City of New York on which banking institutions are authorized or required by law, regulation or executive order to close.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10.17    </w:t>
      </w:r>
      <w:r>
        <w:rPr>
          <w:rFonts w:ascii="Times New Roman;serif" w:hAnsi="Times New Roman;serif"/>
          <w:b w:val="false"/>
          <w:color w:val="000000"/>
          <w:sz w:val="22"/>
          <w:u w:val="single"/>
        </w:rPr>
        <w:t>Force Majeure</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10.18    </w:t>
      </w:r>
      <w:r>
        <w:rPr>
          <w:rFonts w:ascii="Times New Roman;serif" w:hAnsi="Times New Roman;serif"/>
          <w:b w:val="false"/>
          <w:color w:val="000000"/>
          <w:sz w:val="22"/>
          <w:u w:val="single"/>
        </w:rPr>
        <w:t>U.S.A. Patriot Act</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ARTICLE XI</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SINKING FUNDS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11.1    </w:t>
      </w:r>
      <w:r>
        <w:rPr>
          <w:rFonts w:ascii="Times New Roman;serif" w:hAnsi="Times New Roman;serif"/>
          <w:b w:val="false"/>
          <w:color w:val="000000"/>
          <w:sz w:val="22"/>
          <w:u w:val="single"/>
        </w:rPr>
        <w:t>Applicability of Article</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pStyle w:val="TextBody"/>
        <w:bidi w:val="0"/>
        <w:spacing w:lineRule="auto" w:line="288" w:before="0" w:after="240"/>
        <w:ind w:left="0" w:right="0" w:firstLine="990"/>
        <w:jc w:val="left"/>
        <w:rPr/>
      </w:pPr>
      <w:r>
        <w:rPr>
          <w:rFonts w:ascii="Times New Roman;serif" w:hAnsi="Times New Roman;serif"/>
          <w:b w:val="false"/>
          <w:color w:val="000000"/>
          <w:sz w:val="22"/>
        </w:rPr>
        <w:t>The minimum amount of any sinking fund payment provided for by the terms of the Securities of any Series is herein referred to as a “</w:t>
      </w:r>
      <w:r>
        <w:rPr>
          <w:rFonts w:ascii="Times New Roman;serif" w:hAnsi="Times New Roman;serif"/>
          <w:b w:val="false"/>
          <w:i/>
          <w:color w:val="000000"/>
          <w:sz w:val="22"/>
        </w:rPr>
        <w:t>mandatory sinking fund payment</w:t>
      </w:r>
      <w:r>
        <w:rPr>
          <w:color w:val="000000"/>
        </w:rPr>
        <w:t xml:space="preserve">” </w:t>
      </w:r>
      <w:r>
        <w:rPr>
          <w:rFonts w:ascii="Times New Roman;serif" w:hAnsi="Times New Roman;serif"/>
          <w:b w:val="false"/>
          <w:color w:val="000000"/>
          <w:sz w:val="22"/>
        </w:rPr>
        <w:t>and any other amount provided for by the terms of Securities of such Series is herein referred to as an “</w:t>
      </w:r>
      <w:r>
        <w:rPr>
          <w:rFonts w:ascii="Times New Roman;serif" w:hAnsi="Times New Roman;serif"/>
          <w:b w:val="false"/>
          <w:i/>
          <w:color w:val="000000"/>
          <w:sz w:val="22"/>
        </w:rPr>
        <w:t>optional sinking fund payment</w:t>
      </w:r>
      <w:r>
        <w:rPr>
          <w:rFonts w:ascii="Times New Roman;serif" w:hAnsi="Times New Roman;serif"/>
          <w:b w:val="false"/>
          <w:color w:val="000000"/>
          <w:sz w:val="22"/>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11.2    </w:t>
      </w:r>
      <w:r>
        <w:rPr>
          <w:rFonts w:ascii="Times New Roman;serif" w:hAnsi="Times New Roman;serif"/>
          <w:b w:val="false"/>
          <w:color w:val="000000"/>
          <w:sz w:val="22"/>
          <w:u w:val="single"/>
        </w:rPr>
        <w:t>Satisfaction of Sinking Fund Payments with Securities</w:t>
      </w:r>
      <w:r>
        <w:rPr>
          <w:rFonts w:ascii="Times New Roman;serif" w:hAnsi="Times New Roman;serif"/>
          <w:b w:val="false"/>
          <w:color w:val="000000"/>
          <w:sz w:val="22"/>
        </w:rPr>
        <w:t>.</w:t>
      </w:r>
    </w:p>
    <w:p>
      <w:pPr>
        <w:pStyle w:val="TextBody"/>
        <w:bidi w:val="0"/>
        <w:spacing w:lineRule="auto" w:line="288" w:before="0" w:after="240"/>
        <w:ind w:left="0" w:right="0" w:firstLine="990"/>
        <w:jc w:val="left"/>
        <w:rPr/>
      </w:pPr>
      <w:r>
        <w:rPr>
          <w:rFonts w:ascii="Times New Roman;serif" w:hAnsi="Times New Roman;serif"/>
          <w:b w:val="false"/>
          <w:color w:val="000000"/>
          <w:sz w:val="22"/>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11.3    </w:t>
      </w:r>
      <w:r>
        <w:rPr>
          <w:rFonts w:ascii="Times New Roman;serif" w:hAnsi="Times New Roman;serif"/>
          <w:b w:val="false"/>
          <w:color w:val="000000"/>
          <w:sz w:val="22"/>
          <w:u w:val="single"/>
        </w:rPr>
        <w:t>Redemption of Securities for Sinking Fund</w:t>
      </w:r>
      <w:r>
        <w:rPr>
          <w:rFonts w:ascii="Times New Roman;serif" w:hAnsi="Times New Roman;serif"/>
          <w:b w:val="false"/>
          <w:color w:val="000000"/>
          <w:sz w:val="22"/>
        </w:rPr>
        <w:t>.</w: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 xml:space="preserve">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Indenture to be duly executed as of the day and year first above written.</w:t>
      </w:r>
    </w:p>
    <w:tbl>
      <w:tblPr>
        <w:tblW w:w="4178" w:type="dxa"/>
        <w:jc w:val="left"/>
        <w:tblInd w:w="0" w:type="dxa"/>
        <w:tblLayout w:type="fixed"/>
        <w:tblCellMar>
          <w:top w:w="28" w:type="dxa"/>
          <w:left w:w="28" w:type="dxa"/>
          <w:bottom w:w="28" w:type="dxa"/>
          <w:right w:w="28" w:type="dxa"/>
        </w:tblCellMar>
      </w:tblPr>
      <w:tblGrid>
        <w:gridCol w:w="124"/>
        <w:gridCol w:w="109"/>
        <w:gridCol w:w="109"/>
        <w:gridCol w:w="597"/>
        <w:gridCol w:w="597"/>
        <w:gridCol w:w="597"/>
        <w:gridCol w:w="597"/>
        <w:gridCol w:w="597"/>
        <w:gridCol w:w="8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NAUTILUS BIOTECHNOLOGY,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Trustee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23" w:type="dxa"/>
        <w:jc w:val="left"/>
        <w:tblInd w:w="0" w:type="dxa"/>
        <w:tblLayout w:type="fixed"/>
        <w:tblCellMar>
          <w:top w:w="28" w:type="dxa"/>
          <w:left w:w="28" w:type="dxa"/>
          <w:bottom w:w="28" w:type="dxa"/>
          <w:right w:w="28" w:type="dxa"/>
        </w:tblCellMar>
      </w:tblPr>
      <w:tblGrid>
        <w:gridCol w:w="819"/>
        <w:gridCol w:w="720"/>
        <w:gridCol w:w="722"/>
        <w:gridCol w:w="109"/>
        <w:gridCol w:w="109"/>
        <w:gridCol w:w="109"/>
        <w:gridCol w:w="742"/>
        <w:gridCol w:w="742"/>
        <w:gridCol w:w="1051"/>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504825"/>
                  <wp:effectExtent l="0" t="0" r="0" b="0"/>
                  <wp:docPr id="15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4" descr=""/>
                          <pic:cNvPicPr>
                            <a:picLocks noChangeAspect="1" noChangeArrowheads="1"/>
                          </pic:cNvPicPr>
                        </pic:nvPicPr>
                        <pic:blipFill>
                          <a:blip r:embed="rId32"/>
                          <a:stretch>
                            <a:fillRect/>
                          </a:stretch>
                        </pic:blipFill>
                        <pic:spPr bwMode="auto">
                          <a:xfrm>
                            <a:off x="0" y="0"/>
                            <a:ext cx="1371600" cy="5048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Wilson Sonsini Goodrich &amp; Rosati</w:t>
              <w:br/>
              <w:t>Professional Corporation</w:t>
              <w:br/>
              <w:t>650 Page Mill Road</w:t>
              <w:br/>
              <w:t>Palo Alto, California 94304-1050</w:t>
              <w:br/>
              <w:t>O: 650.493.9300</w:t>
              <w:br/>
              <w:t>F: 866.974.7329</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11,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Nautilus Biotechnology,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2701 Eastlake Avenue East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Seattle, Washington 98102</w:t>
      </w:r>
    </w:p>
    <w:tbl>
      <w:tblPr>
        <w:tblW w:w="3525" w:type="dxa"/>
        <w:jc w:val="left"/>
        <w:tblInd w:w="0" w:type="dxa"/>
        <w:tblLayout w:type="fixed"/>
        <w:tblCellMar>
          <w:top w:w="28" w:type="dxa"/>
          <w:left w:w="28" w:type="dxa"/>
          <w:bottom w:w="28" w:type="dxa"/>
          <w:right w:w="28" w:type="dxa"/>
        </w:tblCellMar>
      </w:tblPr>
      <w:tblGrid>
        <w:gridCol w:w="125"/>
        <w:gridCol w:w="110"/>
        <w:gridCol w:w="111"/>
        <w:gridCol w:w="929"/>
        <w:gridCol w:w="929"/>
        <w:gridCol w:w="1321"/>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Registration Statement on Form S</w:t>
              <w:noBreakHyphen/>
              <w:t>3</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your request, we have examined the Registration Statement on Form S</w:t>
        <w:noBreakHyphen/>
        <w:t>3 (the “Registration Statement”), filed by Nautilus Biotechnology, Inc., a Delaware corporation (the “Company”), with the Securities and Exchange Commission (the “Commission”) in connection with the registration pursuant to the Securities Act of 1933, as amended (the “Act”), of the Securities (as defined below).</w:t>
      </w:r>
    </w:p>
    <w:p>
      <w:pPr>
        <w:pStyle w:val="TextBody"/>
        <w:bidi w:val="0"/>
        <w:spacing w:lineRule="auto" w:line="288" w:before="0" w:after="240"/>
        <w:ind w:left="0" w:right="0" w:firstLine="720"/>
        <w:jc w:val="both"/>
        <w:rPr/>
      </w:pPr>
      <w:r>
        <w:rPr>
          <w:rFonts w:ascii="Times New Roman;serif" w:hAnsi="Times New Roman;serif"/>
          <w:b w:val="false"/>
          <w:color w:val="000000"/>
          <w:sz w:val="20"/>
        </w:rPr>
        <w:t>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$300,000,000, or the equivalent thereof, of (</w:t>
      </w:r>
      <w:r>
        <w:rPr>
          <w:rFonts w:ascii="Times New Roman;serif" w:hAnsi="Times New Roman;serif"/>
          <w:b w:val="false"/>
          <w:color w:val="000000"/>
          <w:sz w:val="20"/>
          <w:shd w:fill="FFFFFF" w:val="clear"/>
        </w:rPr>
        <w:t>a)</w:t>
      </w:r>
      <w:r>
        <w:rPr>
          <w:color w:val="000000"/>
        </w:rPr>
        <w:t xml:space="preserve"> </w:t>
      </w:r>
      <w:r>
        <w:rPr>
          <w:rFonts w:ascii="Times New Roman;serif" w:hAnsi="Times New Roman;serif"/>
          <w:b w:val="false"/>
          <w:color w:val="000000"/>
          <w:sz w:val="20"/>
        </w:rPr>
        <w:t>shares of the Company’s common stock, $0.0001 par value per share (the “Common Stock”); (</w:t>
      </w:r>
      <w:r>
        <w:rPr>
          <w:rFonts w:ascii="Times New Roman;serif" w:hAnsi="Times New Roman;serif"/>
          <w:b w:val="false"/>
          <w:color w:val="000000"/>
          <w:sz w:val="20"/>
          <w:shd w:fill="FFFFFF" w:val="clear"/>
        </w:rPr>
        <w:t>b)</w:t>
      </w:r>
      <w:r>
        <w:rPr>
          <w:color w:val="000000"/>
        </w:rPr>
        <w:t xml:space="preserve"> </w:t>
      </w:r>
      <w:r>
        <w:rPr>
          <w:rFonts w:ascii="Times New Roman;serif" w:hAnsi="Times New Roman;serif"/>
          <w:b w:val="false"/>
          <w:color w:val="000000"/>
          <w:sz w:val="20"/>
        </w:rPr>
        <w:t>shares of the Company’s preferred stock, $0.0001 par value per share (the “Preferred Stock”); (</w:t>
      </w:r>
      <w:r>
        <w:rPr>
          <w:rFonts w:ascii="Times New Roman;serif" w:hAnsi="Times New Roman;serif"/>
          <w:b w:val="false"/>
          <w:color w:val="000000"/>
          <w:sz w:val="20"/>
          <w:shd w:fill="FFFFFF" w:val="clear"/>
        </w:rPr>
        <w:t>c)</w:t>
      </w:r>
      <w:r>
        <w:rPr>
          <w:color w:val="000000"/>
        </w:rPr>
        <w:t xml:space="preserve"> </w:t>
      </w:r>
      <w:r>
        <w:rPr>
          <w:rFonts w:ascii="Times New Roman;serif" w:hAnsi="Times New Roman;serif"/>
          <w:b w:val="false"/>
          <w:color w:val="000000"/>
          <w:sz w:val="20"/>
        </w:rPr>
        <w:t>the Company’s debt securities (the “Debt Securities”); (</w:t>
      </w:r>
      <w:r>
        <w:rPr>
          <w:rFonts w:ascii="Times New Roman;serif" w:hAnsi="Times New Roman;serif"/>
          <w:b w:val="false"/>
          <w:color w:val="000000"/>
          <w:sz w:val="20"/>
          <w:shd w:fill="FFFFFF" w:val="clear"/>
        </w:rPr>
        <w:t>d)</w:t>
      </w:r>
      <w:r>
        <w:rPr>
          <w:color w:val="000000"/>
        </w:rPr>
        <w:t xml:space="preserve"> </w:t>
      </w:r>
      <w:r>
        <w:rPr>
          <w:rFonts w:ascii="Times New Roman;serif" w:hAnsi="Times New Roman;serif"/>
          <w:b w:val="false"/>
          <w:color w:val="000000"/>
          <w:sz w:val="20"/>
        </w:rPr>
        <w:t>depositary shares of the Company representing a fractional interest in a share of Preferred Stock (the “Depositary Shares”); (</w:t>
      </w:r>
      <w:r>
        <w:rPr>
          <w:rFonts w:ascii="Times New Roman;serif" w:hAnsi="Times New Roman;serif"/>
          <w:b w:val="false"/>
          <w:color w:val="000000"/>
          <w:sz w:val="20"/>
          <w:shd w:fill="FFFFFF" w:val="clear"/>
        </w:rPr>
        <w:t>e)</w:t>
      </w:r>
      <w:r>
        <w:rPr>
          <w:color w:val="000000"/>
        </w:rPr>
        <w:t xml:space="preserve"> </w:t>
      </w:r>
      <w:r>
        <w:rPr>
          <w:rFonts w:ascii="Times New Roman;serif" w:hAnsi="Times New Roman;serif"/>
          <w:b w:val="false"/>
          <w:color w:val="000000"/>
          <w:sz w:val="20"/>
        </w:rPr>
        <w:t>warrants to purchase any of the securities above (the “Warrants”); (</w:t>
      </w:r>
      <w:r>
        <w:rPr>
          <w:rFonts w:ascii="Times New Roman;serif" w:hAnsi="Times New Roman;serif"/>
          <w:b w:val="false"/>
          <w:color w:val="000000"/>
          <w:sz w:val="20"/>
          <w:shd w:fill="FFFFFF" w:val="clear"/>
        </w:rPr>
        <w:t>f)</w:t>
      </w:r>
      <w:r>
        <w:rPr>
          <w:color w:val="000000"/>
        </w:rPr>
        <w:t xml:space="preserve"> </w:t>
      </w:r>
      <w:r>
        <w:rPr>
          <w:rFonts w:ascii="Times New Roman;serif" w:hAnsi="Times New Roman;serif"/>
          <w:b w:val="false"/>
          <w:color w:val="000000"/>
          <w:sz w:val="20"/>
        </w:rPr>
        <w:t xml:space="preserve">subscription rights to purchase </w:t>
      </w:r>
      <w:r>
        <w:rPr>
          <w:rFonts w:ascii="Times New Roman;serif" w:hAnsi="Times New Roman;serif"/>
          <w:b w:val="false"/>
          <w:color w:val="000000"/>
          <w:sz w:val="20"/>
          <w:shd w:fill="FFFFFF" w:val="clear"/>
        </w:rPr>
        <w:t xml:space="preserve">Common Stock, </w:t>
      </w:r>
      <w:r>
        <w:rPr>
          <w:rFonts w:ascii="Times New Roman;serif" w:hAnsi="Times New Roman;serif"/>
          <w:b w:val="false"/>
          <w:color w:val="000000"/>
          <w:sz w:val="20"/>
        </w:rPr>
        <w:t xml:space="preserve">Preferred Stock, </w:t>
      </w:r>
      <w:r>
        <w:rPr>
          <w:rFonts w:ascii="Times New Roman;serif" w:hAnsi="Times New Roman;serif"/>
          <w:b w:val="false"/>
          <w:color w:val="000000"/>
          <w:sz w:val="20"/>
          <w:shd w:fill="FFFFFF" w:val="clear"/>
        </w:rPr>
        <w:t>Debt Securities, Depositary Shares, Warrants or units consisting of some or all of these securities</w:t>
      </w:r>
      <w:r>
        <w:rPr>
          <w:color w:val="000000"/>
        </w:rPr>
        <w:t xml:space="preserve"> </w:t>
      </w:r>
      <w:r>
        <w:rPr>
          <w:rFonts w:ascii="Times New Roman;serif" w:hAnsi="Times New Roman;serif"/>
          <w:b w:val="false"/>
          <w:color w:val="000000"/>
          <w:sz w:val="20"/>
        </w:rPr>
        <w:t>(the “Subscription Rights”); (</w:t>
      </w:r>
      <w:r>
        <w:rPr>
          <w:rFonts w:ascii="Times New Roman;serif" w:hAnsi="Times New Roman;serif"/>
          <w:b w:val="false"/>
          <w:color w:val="000000"/>
          <w:sz w:val="20"/>
          <w:shd w:fill="FFFFFF" w:val="clear"/>
        </w:rPr>
        <w:t>g)</w:t>
      </w:r>
      <w:r>
        <w:rPr>
          <w:color w:val="000000"/>
        </w:rPr>
        <w:t xml:space="preserve"> </w:t>
      </w:r>
      <w:r>
        <w:rPr>
          <w:rFonts w:ascii="Times New Roman;serif" w:hAnsi="Times New Roman;serif"/>
          <w:b w:val="false"/>
          <w:color w:val="000000"/>
          <w:sz w:val="20"/>
        </w:rPr>
        <w:t>purchase contracts of the Company with respect to the securities of the Company (the “Purchase Contracts”); and (</w:t>
      </w:r>
      <w:r>
        <w:rPr>
          <w:rFonts w:ascii="Times New Roman;serif" w:hAnsi="Times New Roman;serif"/>
          <w:b w:val="false"/>
          <w:color w:val="000000"/>
          <w:sz w:val="20"/>
          <w:shd w:fill="FFFFFF" w:val="clear"/>
        </w:rPr>
        <w:t>h)</w:t>
      </w:r>
      <w:r>
        <w:rPr>
          <w:color w:val="000000"/>
        </w:rPr>
        <w:t xml:space="preserve"> </w:t>
      </w:r>
      <w:r>
        <w:rPr>
          <w:rFonts w:ascii="Times New Roman;serif" w:hAnsi="Times New Roman;serif"/>
          <w:b w:val="false"/>
          <w:color w:val="000000"/>
          <w:sz w:val="20"/>
        </w:rPr>
        <w:t xml:space="preserve">units consisting of two or more securities described above in any combination (the “Units”) (the Common Stock, the Preferred Stock, the Debt Securities, the Depositary Shares, the Warrants, the Subscription Rights, the Purchase Contracts and the Units are collectively referred to herein as the “Securities”).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advise you that we have also examined the Prospectus Supplement to the Registration Statement relating to the registration under the Act of the Company’s issuance and sale of up to $125,000,000 of shares of Common Stock (the “Shares”). We understand that the Company has agreed to issue and sell the Shares from time to time pursuant to the sales agreement, dated as of September 11, 2026, by and between the Company and TD Securities (USA) LLC, as sales agent (the “Sales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Securities are to be sold from time to time as set forth in the Registration Statement, the Prospectus contained therein and the Prospectus Supplements.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Securities are to be sold pursuant to a purchase, underwriting or similar agreement in substantially the form to be filed under the Registration Statement or a Current Report on Form 8</w:t>
        <w:noBreakHyphen/>
        <w:t>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w:t>
        <w:noBreakHyphen/>
        <w:t xml:space="preserve">effective amendments), will have become effective under the Act; (e) that a Prospectus Supplement will have been filed with the Commission describing the </w:t>
      </w:r>
    </w:p>
    <w:p>
      <w:pPr>
        <w:pStyle w:val="TextBody"/>
        <w:bidi w:val="0"/>
        <w:spacing w:before="0" w:after="0"/>
        <w:jc w:val="left"/>
        <w:rPr/>
      </w:pPr>
      <w:r>
        <w:rPr/>
        <w:drawing>
          <wp:inline distT="0" distB="0" distL="0" distR="0">
            <wp:extent cx="914400" cy="333375"/>
            <wp:effectExtent l="0" t="0" r="0" b="0"/>
            <wp:docPr id="15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 descr=""/>
                    <pic:cNvPicPr>
                      <a:picLocks noChangeAspect="1" noChangeArrowheads="1"/>
                    </pic:cNvPicPr>
                  </pic:nvPicPr>
                  <pic:blipFill>
                    <a:blip r:embed="rId33"/>
                    <a:stretch>
                      <a:fillRect/>
                    </a:stretch>
                  </pic:blipFill>
                  <pic:spPr bwMode="auto">
                    <a:xfrm>
                      <a:off x="0" y="0"/>
                      <a:ext cx="914400" cy="333375"/>
                    </a:xfrm>
                    <a:prstGeom prst="rect">
                      <a:avLst/>
                    </a:prstGeom>
                  </pic:spPr>
                </pic:pic>
              </a:graphicData>
            </a:graphic>
          </wp:inline>
        </w:drawing>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27330"/>
                <wp:effectExtent l="0" t="0" r="0" b="0"/>
                <wp:wrapNone/>
                <wp:docPr id="156" name="Frame151"/>
                <a:graphic xmlns:a="http://schemas.openxmlformats.org/drawingml/2006/main">
                  <a:graphicData uri="http://schemas.microsoft.com/office/word/2010/wordprocessingShape">
                    <wps:wsp>
                      <wps:cNvSpPr txBox="1"/>
                      <wps:spPr>
                        <a:xfrm>
                          <a:off x="0" y="0"/>
                          <a:ext cx="6480175" cy="227330"/>
                        </a:xfrm>
                        <a:prstGeom prst="rect"/>
                        <a:solidFill>
                          <a:srgbClr val="FFFFFF"/>
                        </a:solidFill>
                      </wps:spPr>
                      <wps:txbx>
                        <w:txbxContent>
                          <w:p>
                            <w:pPr>
                              <w:pStyle w:val="TextBody"/>
                              <w:bidi w:val="0"/>
                              <w:spacing w:lineRule="auto" w:line="288" w:before="0" w:after="0"/>
                              <w:jc w:val="center"/>
                              <w:rPr>
                                <w:rFonts w:ascii="Buenos Aires;sans-serif" w:hAnsi="Buenos Aires;sans-serif"/>
                                <w:b w:val="false"/>
                                <w:color w:val="003D4C"/>
                                <w:sz w:val="14"/>
                              </w:rPr>
                            </w:pPr>
                            <w:r>
                              <w:rPr>
                                <w:rFonts w:ascii="Buenos Aires;sans-serif" w:hAnsi="Buenos Aires;sans-serif"/>
                                <w:b w:val="false"/>
                                <w:color w:val="003D4C"/>
                                <w:sz w:val="14"/>
                              </w:rPr>
                              <w:t>AUSTIN      BOSTON     BOULDER     BRUSSELS     HONG KONG     LONDON     LOS ANGELES     NEW YORK     PALO ALTO    </w:t>
                            </w:r>
                            <w:r>
                              <w:br w:type="page"/>
                            </w:r>
                          </w:p>
                          <w:p>
                            <w:pPr>
                              <w:pStyle w:val="TextBody"/>
                              <w:bidi w:val="0"/>
                              <w:spacing w:lineRule="auto" w:line="288" w:before="0" w:after="0"/>
                              <w:jc w:val="center"/>
                              <w:rPr>
                                <w:rFonts w:ascii="Buenos Aires;sans-serif" w:hAnsi="Buenos Aires;sans-serif"/>
                                <w:b w:val="false"/>
                                <w:color w:val="003D4C"/>
                                <w:sz w:val="14"/>
                              </w:rPr>
                            </w:pPr>
                            <w:r>
                              <w:rPr>
                                <w:rFonts w:ascii="Buenos Aires;sans-serif" w:hAnsi="Buenos Aires;sans-serif"/>
                                <w:b w:val="false"/>
                                <w:color w:val="003D4C"/>
                                <w:sz w:val="14"/>
                              </w:rPr>
                              <w:t>SALT LAKE CITY     SAN DIEGO      SAN FRANCISCO     SEATTLE     SHANGHAI     WASHINGTON, DC     WILMINGTON, DE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Buenos Aires;sans-serif" w:hAnsi="Buenos Aires;sans-serif"/>
                          <w:b w:val="false"/>
                          <w:color w:val="003D4C"/>
                          <w:sz w:val="14"/>
                        </w:rPr>
                      </w:pPr>
                      <w:r>
                        <w:rPr>
                          <w:rFonts w:ascii="Buenos Aires;sans-serif" w:hAnsi="Buenos Aires;sans-serif"/>
                          <w:b w:val="false"/>
                          <w:color w:val="003D4C"/>
                          <w:sz w:val="14"/>
                        </w:rPr>
                        <w:t>AUSTIN      BOSTON     BOULDER     BRUSSELS     HONG KONG     LONDON     LOS ANGELES     NEW YORK     PALO ALTO    </w:t>
                      </w:r>
                    </w:p>
                    <w:p>
                      <w:pPr>
                        <w:pStyle w:val="TextBody"/>
                        <w:bidi w:val="0"/>
                        <w:spacing w:lineRule="auto" w:line="288" w:before="0" w:after="0"/>
                        <w:jc w:val="center"/>
                        <w:rPr>
                          <w:rFonts w:ascii="Buenos Aires;sans-serif" w:hAnsi="Buenos Aires;sans-serif"/>
                          <w:b w:val="false"/>
                          <w:color w:val="003D4C"/>
                          <w:sz w:val="14"/>
                        </w:rPr>
                      </w:pPr>
                      <w:r>
                        <w:rPr>
                          <w:rFonts w:ascii="Buenos Aires;sans-serif" w:hAnsi="Buenos Aires;sans-serif"/>
                          <w:b w:val="false"/>
                          <w:color w:val="003D4C"/>
                          <w:sz w:val="14"/>
                        </w:rPr>
                        <w:t>SALT LAKE CITY     SAN DIEGO      SAN FRANCISCO     SEATTLE     SHANGHAI     WASHINGTON, DC     WILMINGTON, DE</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offered thereby; (f) that the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Securities offered will have been duly authorized and validly executed and delivered by the Company and the other parties thereto; (h) that any Securities issuable upon conversion, exchange, redemption or exercise of any Securities being offered will be duly authorized, created and, if appropriate, reserved for issuance upon such conversion, exchange, redemption or exercise; (i) with respect to shares of Common Stock or Preferred Stock, that there will be sufficient shares of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such examination, we are of the opinion that:</w:t>
      </w:r>
    </w:p>
    <w:p>
      <w:pPr>
        <w:pStyle w:val="TextBody"/>
        <w:bidi w:val="0"/>
        <w:spacing w:lineRule="auto" w:line="288" w:before="0" w:after="24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rPr>
        <w:t>With respect to the shares of Common Stock, when: (a) the Board of Directors of the Company or a duly constituted and acting committee thereof (such Board of Directors or committee being hereinafter referred to as the “Board”)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pStyle w:val="TextBody"/>
        <w:bidi w:val="0"/>
        <w:spacing w:lineRule="auto" w:line="288" w:before="0" w:after="24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 (i) 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Preferred Stock will be validly issued, fully paid and nonassessable.</w:t>
      </w:r>
    </w:p>
    <w:p>
      <w:pPr>
        <w:pStyle w:val="TextBody"/>
        <w:bidi w:val="0"/>
        <w:spacing w:lineRule="auto" w:line="288" w:before="0" w:after="24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rPr>
        <w:t>With respect to Debt Securities to be issued under the Indenture, when: (</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the Trustee is qualified to act as Trustee under the Indenture and the Company has filed a Form T</w:t>
        <w:noBreakHyphen/>
        <w:t>1 for the Trustee with the Commission; (</w:t>
      </w:r>
      <w:r>
        <w:rPr>
          <w:rFonts w:ascii="Times New Roman;serif" w:hAnsi="Times New Roman;serif"/>
          <w:b w:val="false"/>
          <w:color w:val="000000"/>
          <w:sz w:val="20"/>
          <w:shd w:fill="FFFFFF" w:val="clear"/>
        </w:rPr>
        <w:t xml:space="preserve">b) </w:t>
      </w:r>
      <w:r>
        <w:rPr>
          <w:rFonts w:ascii="Times New Roman;serif" w:hAnsi="Times New Roman;serif"/>
          <w:b w:val="false"/>
          <w:color w:val="000000"/>
          <w:sz w:val="20"/>
        </w:rPr>
        <w:t>the Trustee has duly executed and delivered the Indenture; (</w:t>
      </w:r>
      <w:r>
        <w:rPr>
          <w:rFonts w:ascii="Times New Roman;serif" w:hAnsi="Times New Roman;serif"/>
          <w:b w:val="false"/>
          <w:color w:val="000000"/>
          <w:sz w:val="20"/>
          <w:shd w:fill="FFFFFF" w:val="clear"/>
        </w:rPr>
        <w:t xml:space="preserve">c) </w:t>
      </w:r>
      <w:r>
        <w:rPr>
          <w:rFonts w:ascii="Times New Roman;serif" w:hAnsi="Times New Roman;serif"/>
          <w:b w:val="false"/>
          <w:color w:val="000000"/>
          <w:sz w:val="20"/>
        </w:rPr>
        <w:t>the Indenture has been duly authorized and validly executed and delivered by the Company to the Trustee; (</w:t>
      </w:r>
      <w:r>
        <w:rPr>
          <w:rFonts w:ascii="Times New Roman;serif" w:hAnsi="Times New Roman;serif"/>
          <w:b w:val="false"/>
          <w:color w:val="000000"/>
          <w:sz w:val="20"/>
          <w:shd w:fill="FFFFFF" w:val="clear"/>
        </w:rPr>
        <w:t xml:space="preserve">d) </w:t>
      </w:r>
      <w:r>
        <w:rPr>
          <w:rFonts w:ascii="Times New Roman;serif" w:hAnsi="Times New Roman;serif"/>
          <w:b w:val="false"/>
          <w:color w:val="000000"/>
          <w:sz w:val="20"/>
        </w:rPr>
        <w:t>the Indenture has been duly qualified under the Trust Indenture Act of 1939, as amended; (</w:t>
      </w:r>
      <w:r>
        <w:rPr>
          <w:rFonts w:ascii="Times New Roman;serif" w:hAnsi="Times New Roman;serif"/>
          <w:b w:val="false"/>
          <w:color w:val="000000"/>
          <w:sz w:val="20"/>
          <w:shd w:fill="FFFFFF" w:val="clear"/>
        </w:rPr>
        <w:t xml:space="preserve">e) </w:t>
      </w:r>
      <w:r>
        <w:rPr>
          <w:rFonts w:ascii="Times New Roman;serif" w:hAnsi="Times New Roman;serif"/>
          <w:b w:val="false"/>
          <w:color w:val="000000"/>
          <w:sz w:val="20"/>
        </w:rPr>
        <w:t>the Board has taken all necessary corporate action to approve the issuance and terms of such Debt Securities, the terms of the offering thereof and related matters; and (</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constitute valid and binding obligations of the Company, enforceable against the Company in accordance with their terms, and entitled to the benefits of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rPr>
        <w:t xml:space="preserve">With respect to Depositary Shares, when: (a) the Board has taken all necessary corporate action to approve the issuance and terms of the Depositary Shares, the terms of the offering thereof, and related matters, including the adoption of a Certificate relating to the Preferred Stock underlying such Depositary Shares and the </w:t>
      </w:r>
    </w:p>
    <w:p>
      <w:pPr>
        <w:pStyle w:val="TextBody"/>
        <w:bidi w:val="0"/>
        <w:spacing w:before="0" w:after="0"/>
        <w:jc w:val="left"/>
        <w:rPr/>
      </w:pPr>
      <w:r>
        <w:rPr/>
        <w:drawing>
          <wp:inline distT="0" distB="0" distL="0" distR="0">
            <wp:extent cx="914400" cy="333375"/>
            <wp:effectExtent l="0" t="0" r="0" b="0"/>
            <wp:docPr id="15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6" descr=""/>
                    <pic:cNvPicPr>
                      <a:picLocks noChangeAspect="1" noChangeArrowheads="1"/>
                    </pic:cNvPicPr>
                  </pic:nvPicPr>
                  <pic:blipFill>
                    <a:blip r:embed="rId34"/>
                    <a:stretch>
                      <a:fillRect/>
                    </a:stretch>
                  </pic:blipFill>
                  <pic:spPr bwMode="auto">
                    <a:xfrm>
                      <a:off x="0" y="0"/>
                      <a:ext cx="914400" cy="333375"/>
                    </a:xfrm>
                    <a:prstGeom prst="rect">
                      <a:avLst/>
                    </a:prstGeom>
                  </pic:spPr>
                </pic:pic>
              </a:graphicData>
            </a:graphic>
          </wp:inline>
        </w:drawing>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8"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filing of the Certificate with the Secretary of State of the State of Delaware; (b) the Deposit Agreement (the “Deposit Agreement”) or agreements relating to the Depositary Shares and the related Depositary Receipts (the “Depositary Receipts”) have been duly authorized and validly executed and delivered by the Company and the depositary appointed by the Company; (c) the shares of Preferred Stock underlying such Depositary Shares have been deposited with a bank or trust company (which meets the requirements for the depositary set forth in the Registration Statement) under the applicable Deposit Agreement; and (d) the Depositary Receipts representing the Depositary Shares have been duly executed, countersigned, registered and delivered in accordance with the appropriate Deposit Agreement and the applicable definitive purchase, underwriting or similar agreement approved by the Board upon payment of the consideration therefor provided for therein, the Depositary Shares will be validly issued </w:t>
      </w:r>
      <w:r>
        <w:rPr>
          <w:rFonts w:ascii="Times New Roman;serif" w:hAnsi="Times New Roman;serif"/>
          <w:b w:val="false"/>
          <w:color w:val="000000"/>
          <w:sz w:val="20"/>
          <w:shd w:fill="FFFFFF" w:val="clear"/>
        </w:rPr>
        <w:t>and will entitle their holders to the rights specified in the Deposit Agreement and the Depositary Receipts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rFonts w:ascii="Times New Roman;serif" w:hAnsi="Times New Roman;serif"/>
          <w:b w:val="false"/>
          <w:color w:val="000000"/>
          <w:sz w:val="20"/>
        </w:rPr>
        <w:t>5.</w:t>
      </w:r>
      <w:r>
        <w:rPr>
          <w:rFonts w:ascii="Times New Roman;serif" w:hAnsi="Times New Roman;serif"/>
          <w:b w:val="false"/>
          <w:color w:val="000000"/>
          <w:sz w:val="20"/>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pStyle w:val="TextBody"/>
        <w:bidi w:val="0"/>
        <w:spacing w:lineRule="auto" w:line="288" w:before="0" w:after="240"/>
        <w:ind w:left="0" w:right="0" w:firstLine="720"/>
        <w:jc w:val="both"/>
        <w:rPr/>
      </w:pPr>
      <w:r>
        <w:rPr>
          <w:rFonts w:ascii="Times New Roman;serif" w:hAnsi="Times New Roman;serif"/>
          <w:b w:val="false"/>
          <w:color w:val="000000"/>
          <w:sz w:val="20"/>
        </w:rPr>
        <w:t>6.</w:t>
      </w:r>
      <w:r>
        <w:rPr>
          <w:rFonts w:ascii="Times New Roman;serif" w:hAnsi="Times New Roman;serif"/>
          <w:b w:val="false"/>
          <w:color w:val="000000"/>
          <w:sz w:val="20"/>
        </w:rPr>
        <w:t>With respect to the Subscription Rights, when: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and upon payment of the consideration for the Subscription Rights provided for in such rights agreement, if any, then the Subscription Rights will be valid and binding obligations of the Company, enforceable against the Company in accordance with their terms.</w:t>
      </w:r>
    </w:p>
    <w:p>
      <w:pPr>
        <w:pStyle w:val="TextBody"/>
        <w:bidi w:val="0"/>
        <w:spacing w:lineRule="auto" w:line="288" w:before="0" w:after="240"/>
        <w:ind w:left="0" w:right="0" w:firstLine="720"/>
        <w:jc w:val="both"/>
        <w:rPr/>
      </w:pPr>
      <w:r>
        <w:rPr>
          <w:rFonts w:ascii="Times New Roman;serif" w:hAnsi="Times New Roman;serif"/>
          <w:b w:val="false"/>
          <w:color w:val="000000"/>
          <w:sz w:val="20"/>
        </w:rPr>
        <w:t>7.</w:t>
      </w:r>
      <w:r>
        <w:rPr>
          <w:rFonts w:ascii="Times New Roman;serif" w:hAnsi="Times New Roman;serif"/>
          <w:b w:val="false"/>
          <w:color w:val="000000"/>
          <w:sz w:val="20"/>
        </w:rPr>
        <w:t>With respect to the Purchase Contracts, when: (a) the Board has taken all necessary corporate action to approve the issuance and terms of the Purchase Contracts and related matters and (b) the agreement under which the Purchase Contracts are to be issued has been duly authorized and validly executed and delivered by the Company, then the Purchase Contracts will be valid and binding obligations of the Company, enforceable against the Company in accordance with their terms.</w:t>
      </w:r>
    </w:p>
    <w:p>
      <w:pPr>
        <w:pStyle w:val="TextBody"/>
        <w:bidi w:val="0"/>
        <w:spacing w:lineRule="auto" w:line="288" w:before="0" w:after="240"/>
        <w:ind w:left="0" w:right="0" w:firstLine="720"/>
        <w:jc w:val="both"/>
        <w:rPr/>
      </w:pPr>
      <w:r>
        <w:rPr>
          <w:rFonts w:ascii="Times New Roman;serif" w:hAnsi="Times New Roman;serif"/>
          <w:b w:val="false"/>
          <w:color w:val="000000"/>
          <w:sz w:val="20"/>
        </w:rPr>
        <w:t>8.</w:t>
      </w:r>
      <w:r>
        <w:rPr>
          <w:rFonts w:ascii="Times New Roman;serif" w:hAnsi="Times New Roman;serif"/>
          <w:b w:val="false"/>
          <w:color w:val="000000"/>
          <w:sz w:val="20"/>
        </w:rPr>
        <w:t>With respect to the Units, when: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pStyle w:val="TextBody"/>
        <w:bidi w:val="0"/>
        <w:spacing w:lineRule="auto" w:line="288" w:before="0" w:after="240"/>
        <w:ind w:left="0" w:right="0" w:firstLine="720"/>
        <w:jc w:val="both"/>
        <w:rPr/>
      </w:pPr>
      <w:r>
        <w:rPr>
          <w:rFonts w:ascii="Times New Roman;serif" w:hAnsi="Times New Roman;serif"/>
          <w:b w:val="false"/>
          <w:color w:val="000000"/>
          <w:sz w:val="20"/>
        </w:rPr>
        <w:t>9.</w:t>
      </w:r>
      <w:r>
        <w:rPr>
          <w:rFonts w:ascii="Times New Roman;serif" w:hAnsi="Times New Roman;serif"/>
          <w:b w:val="false"/>
          <w:color w:val="000000"/>
          <w:sz w:val="20"/>
        </w:rPr>
        <w:t xml:space="preserve">The Shares to be issued and sold by the Company have been duly authorized and, when issued and delivered by the Company against payment therefor in accordance with the terms of the Sales Agreement, will be validly issued, fully paid and nonassessable.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opinion that any document is legal, valid and binding is qualified as to:</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(a)limitations imposed by bankruptcy, insolvency, reorganization, arrangement, fraudulent transfer, moratorium or other similar laws relating to or affecting the rights of creditors generally;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(b)rights to indemnification and contribution, which may be limited by applicable law or equitable principles; and</w:t>
      </w:r>
    </w:p>
    <w:p>
      <w:pPr>
        <w:pStyle w:val="TextBody"/>
        <w:bidi w:val="0"/>
        <w:spacing w:before="0" w:after="0"/>
        <w:jc w:val="left"/>
        <w:rPr/>
      </w:pPr>
      <w:r>
        <w:rPr/>
        <w:drawing>
          <wp:inline distT="0" distB="0" distL="0" distR="0">
            <wp:extent cx="914400" cy="333375"/>
            <wp:effectExtent l="0" t="0" r="0" b="0"/>
            <wp:docPr id="15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7" descr=""/>
                    <pic:cNvPicPr>
                      <a:picLocks noChangeAspect="1" noChangeArrowheads="1"/>
                    </pic:cNvPicPr>
                  </pic:nvPicPr>
                  <pic:blipFill>
                    <a:blip r:embed="rId35"/>
                    <a:stretch>
                      <a:fillRect/>
                    </a:stretch>
                  </pic:blipFill>
                  <pic:spPr bwMode="auto">
                    <a:xfrm>
                      <a:off x="0" y="0"/>
                      <a:ext cx="914400" cy="333375"/>
                    </a:xfrm>
                    <a:prstGeom prst="rect">
                      <a:avLst/>
                    </a:prstGeom>
                  </pic:spPr>
                </pic:pic>
              </a:graphicData>
            </a:graphic>
          </wp:inline>
        </w:drawing>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0"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express no opinion as to the laws of any other jurisdiction, other than the federal laws of the United States of America, the laws of the State of New York as to the enforceability of the Debt Securities and the DGCL.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before="0" w:after="0"/>
        <w:jc w:val="left"/>
        <w:rPr/>
      </w:pPr>
      <w:r>
        <w:rPr/>
        <w:drawing>
          <wp:inline distT="0" distB="0" distL="0" distR="0">
            <wp:extent cx="914400" cy="333375"/>
            <wp:effectExtent l="0" t="0" r="0" b="0"/>
            <wp:docPr id="16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8" descr=""/>
                    <pic:cNvPicPr>
                      <a:picLocks noChangeAspect="1" noChangeArrowheads="1"/>
                    </pic:cNvPicPr>
                  </pic:nvPicPr>
                  <pic:blipFill>
                    <a:blip r:embed="rId36"/>
                    <a:stretch>
                      <a:fillRect/>
                    </a:stretch>
                  </pic:blipFill>
                  <pic:spPr bwMode="auto">
                    <a:xfrm>
                      <a:off x="0" y="0"/>
                      <a:ext cx="914400" cy="333375"/>
                    </a:xfrm>
                    <a:prstGeom prst="rect">
                      <a:avLst/>
                    </a:prstGeom>
                  </pic:spPr>
                </pic:pic>
              </a:graphicData>
            </a:graphic>
          </wp:inline>
        </w:drawing>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4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hereby consent to the filing of this opinion as an exhibit to the above</w:t>
        <w:noBreakHyphen/>
        <w:t xml:space="preserve">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 </w:t>
      </w:r>
    </w:p>
    <w:tbl>
      <w:tblPr>
        <w:tblW w:w="3659" w:type="dxa"/>
        <w:jc w:val="left"/>
        <w:tblInd w:w="0" w:type="dxa"/>
        <w:tblLayout w:type="fixed"/>
        <w:tblCellMar>
          <w:top w:w="28" w:type="dxa"/>
          <w:left w:w="28" w:type="dxa"/>
          <w:bottom w:w="28" w:type="dxa"/>
          <w:right w:w="28" w:type="dxa"/>
        </w:tblCellMar>
      </w:tblPr>
      <w:tblGrid>
        <w:gridCol w:w="1171"/>
        <w:gridCol w:w="1026"/>
        <w:gridCol w:w="1462"/>
      </w:tblGrid>
      <w:tr>
        <w:trPr/>
        <w:tc>
          <w:tcPr>
            <w:tcW w:w="117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Very truly yours,</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Wilson Sonsini Goodrich &amp; Rosati, P.C.</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WILSON SONSINI GOODRICH &amp; ROSATI</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Corporation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88" w:before="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288" w:before="0" w:after="200"/>
        <w:jc w:val="left"/>
        <w:rPr/>
      </w:pPr>
      <w:r>
        <w:rPr>
          <w:rFonts w:ascii="Georgia;serif" w:hAnsi="Georgia;serif"/>
          <w:b w:val="false"/>
          <w:color w:val="000000"/>
          <w:sz w:val="20"/>
        </w:rPr>
        <w:t>We hereby consent to the incorporation by reference in this Registration Statement on Form</w:t>
      </w:r>
      <w:r>
        <w:rPr>
          <w:color w:val="FF0000"/>
        </w:rPr>
        <w:t> </w:t>
      </w:r>
      <w:r>
        <w:rPr>
          <w:rFonts w:ascii="Georgia;serif" w:hAnsi="Georgia;serif"/>
          <w:b w:val="false"/>
          <w:color w:val="000000"/>
          <w:sz w:val="20"/>
        </w:rPr>
        <w:t>S-3 of Nautilus Biotechnology, Inc.</w:t>
      </w:r>
      <w:r>
        <w:rPr>
          <w:color w:val="FF0000"/>
        </w:rPr>
        <w:t xml:space="preserve"> </w:t>
      </w:r>
      <w:r>
        <w:rPr>
          <w:rFonts w:ascii="Georgia;serif" w:hAnsi="Georgia;serif"/>
          <w:b w:val="false"/>
          <w:color w:val="000000"/>
          <w:sz w:val="20"/>
        </w:rPr>
        <w:t>of our report dated February 26, 2026</w:t>
      </w:r>
      <w:r>
        <w:rPr>
          <w:color w:val="FF0000"/>
        </w:rPr>
        <w:t xml:space="preserve"> </w:t>
      </w:r>
      <w:r>
        <w:rPr>
          <w:rFonts w:ascii="Georgia;serif" w:hAnsi="Georgia;serif"/>
          <w:b w:val="false"/>
          <w:color w:val="000000"/>
          <w:sz w:val="20"/>
        </w:rPr>
        <w:t xml:space="preserve">relating to the financial statements, which appears in Nautilus Biotechnology, Inc.'s Annual Report on Form 10-K for the year ended December 31, 2025. We also consent to the reference to us under the heading "Experts" in such Registration Statement. </w:t>
      </w:r>
    </w:p>
    <w:tbl>
      <w:tblPr>
        <w:tblW w:w="3000" w:type="dxa"/>
        <w:jc w:val="left"/>
        <w:tblInd w:w="0" w:type="dxa"/>
        <w:tblLayout w:type="fixed"/>
        <w:tblCellMar>
          <w:top w:w="28" w:type="dxa"/>
          <w:left w:w="28" w:type="dxa"/>
          <w:bottom w:w="28" w:type="dxa"/>
          <w:right w:w="28" w:type="dxa"/>
        </w:tblCellMar>
      </w:tblPr>
      <w:tblGrid>
        <w:gridCol w:w="958"/>
        <w:gridCol w:w="844"/>
        <w:gridCol w:w="1198"/>
      </w:tblGrid>
      <w:tr>
        <w:trPr/>
        <w:tc>
          <w:tcPr>
            <w:tcW w:w="95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eorgia;serif" w:hAnsi="Georgia;serif"/>
                <w:b w:val="false"/>
                <w:color w:val="000000"/>
                <w:sz w:val="20"/>
              </w:rPr>
            </w:pPr>
            <w:r>
              <w:rPr>
                <w:rFonts w:ascii="Georgia;serif" w:hAnsi="Georgia;serif"/>
                <w:b w:val="false"/>
                <w:color w:val="000000"/>
                <w:sz w:val="20"/>
              </w:rPr>
              <w:t>/s/ PricewaterhouseCoopers LLP</w:t>
            </w:r>
          </w:p>
        </w:tc>
      </w:tr>
    </w:tbl>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San Jose, California</w:t>
      </w:r>
    </w:p>
    <w:p>
      <w:pPr>
        <w:pStyle w:val="TextBody"/>
        <w:bidi w:val="0"/>
        <w:spacing w:lineRule="auto" w:line="288"/>
        <w:jc w:val="left"/>
        <w:rPr>
          <w:rFonts w:ascii="Georgia;serif" w:hAnsi="Georgia;serif"/>
          <w:b w:val="false"/>
          <w:color w:val="000000"/>
          <w:sz w:val="20"/>
        </w:rPr>
      </w:pPr>
      <w:r>
        <w:rPr>
          <w:rFonts w:ascii="Georgia;serif" w:hAnsi="Georgia;serif"/>
          <w:b w:val="false"/>
          <w:color w:val="000000"/>
          <w:sz w:val="20"/>
        </w:rPr>
        <w:t>September 11, 2026</w:t>
      </w:r>
    </w:p>
    <w:p>
      <w:pPr>
        <w:pStyle w:val="TextBody"/>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4145"/>
                <wp:effectExtent l="0" t="0" r="0" b="0"/>
                <wp:wrapNone/>
                <wp:docPr id="164" name="Frame156"/>
                <a:graphic xmlns:a="http://schemas.openxmlformats.org/drawingml/2006/main">
                  <a:graphicData uri="http://schemas.microsoft.com/office/word/2010/wordprocessingShape">
                    <wps:wsp>
                      <wps:cNvSpPr txBox="1"/>
                      <wps:spPr>
                        <a:xfrm>
                          <a:off x="0" y="0"/>
                          <a:ext cx="6480175" cy="144145"/>
                        </a:xfrm>
                        <a:prstGeom prst="rect"/>
                        <a:solidFill>
                          <a:srgbClr val="FFFFFF"/>
                        </a:solidFill>
                      </wps:spPr>
                      <wps:txbx>
                        <w:txbxContent>
                          <w:p>
                            <w:pPr>
                              <w:pStyle w:val="TextBody"/>
                              <w:bidi w:val="0"/>
                              <w:spacing w:lineRule="auto" w:line="240" w:before="0" w:after="0"/>
                              <w:jc w:val="right"/>
                              <w:rPr>
                                <w:rFonts w:ascii="Georgia;serif" w:hAnsi="Georgia;serif"/>
                                <w:b w:val="false"/>
                                <w:color w:val="000000"/>
                                <w:sz w:val="20"/>
                              </w:rPr>
                            </w:pPr>
                            <w:r>
                              <w:rPr>
                                <w:rFonts w:ascii="Georgia;serif" w:hAnsi="Georgia;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Georgia;serif" w:hAnsi="Georgia;serif"/>
                          <w:b w:val="false"/>
                          <w:color w:val="000000"/>
                          <w:sz w:val="20"/>
                        </w:rPr>
                      </w:pPr>
                      <w:r>
                        <w:rPr>
                          <w:rFonts w:ascii="Georgia;serif" w:hAnsi="Georgia;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Buenos Aires">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808805/000180880523000011/exhibit42-descriptionofsec.htm" TargetMode="External"/><Relationship Id="rId4" Type="http://schemas.openxmlformats.org/officeDocument/2006/relationships/hyperlink" Target="https://www.sec.gov/Archives/edgar/data/0001808805/000180880523000011/exhibit42-descriptionofsec.htm" TargetMode="External"/><Relationship Id="rId5" Type="http://schemas.openxmlformats.org/officeDocument/2006/relationships/hyperlink" Target="https://www.sec.gov/ix?doc=/Archives/edgar/data/0001808805/000180880526000011/naut-20251231.htm" TargetMode="External"/><Relationship Id="rId6" Type="http://schemas.openxmlformats.org/officeDocument/2006/relationships/hyperlink" Target="https://www.sec.gov/ix?doc=/Archives/edgar/data/1808805/000180880526000011/naut-20251231.htm" TargetMode="External"/><Relationship Id="rId7" Type="http://schemas.openxmlformats.org/officeDocument/2006/relationships/hyperlink" Target="https://www.sec.gov/ix?doc=/Archives/edgar/data/1808805/000180880526000011/naut-20251231.htm" TargetMode="External"/><Relationship Id="rId8" Type="http://schemas.openxmlformats.org/officeDocument/2006/relationships/hyperlink" Target="https://www.sec.gov/Archives/edgar/data/1808805/000180880526000023/nautilusdef14a20260617a.htm" TargetMode="External"/><Relationship Id="rId9" Type="http://schemas.openxmlformats.org/officeDocument/2006/relationships/hyperlink" Target="https://www.sec.gov/ix?doc=/Archives/edgar/data/1808805/000180880526000022/naut-20260331.htm" TargetMode="External"/><Relationship Id="rId10" Type="http://schemas.openxmlformats.org/officeDocument/2006/relationships/hyperlink" Target="https://www.sec.gov/ix?doc=/Archives/edgar/data/1808805/000180880526000034/naut-20260630.htm" TargetMode="External"/><Relationship Id="rId11" Type="http://schemas.openxmlformats.org/officeDocument/2006/relationships/hyperlink" Target="https://www.sec.gov/ix?doc=/Archives/edgar/data/1808805/000180880526000022/naut-20260331.htm" TargetMode="External"/><Relationship Id="rId12" Type="http://schemas.openxmlformats.org/officeDocument/2006/relationships/hyperlink" Target="https://www.sec.gov/ix?doc=/Archives/edgar/data/1808805/000180880526000034/naut-20260630.htm" TargetMode="External"/><Relationship Id="rId13" Type="http://schemas.openxmlformats.org/officeDocument/2006/relationships/hyperlink" Target="https://www.sec.gov/ix?doc=/Archives/edgar/data/1808805/000180880526000027/naut-20260617.htm" TargetMode="External"/><Relationship Id="rId14" Type="http://schemas.openxmlformats.org/officeDocument/2006/relationships/hyperlink" Target="https://www.sec.gov/Archives/edgar/data/1808805/000114036120017640/nt10013610x6_8a12b.htm" TargetMode="External"/><Relationship Id="rId15" Type="http://schemas.openxmlformats.org/officeDocument/2006/relationships/image" Target="media/image1.jpeg"/><Relationship Id="rId16" Type="http://schemas.openxmlformats.org/officeDocument/2006/relationships/hyperlink" Target="https://www.sec.gov/ix?doc=/Archives/edgar/data/0001808805/000180880526000011/naut-20251231.htm" TargetMode="External"/><Relationship Id="rId17" Type="http://schemas.openxmlformats.org/officeDocument/2006/relationships/hyperlink" Target="https://www.sec.gov/ix?doc=/Archives/edgar/data/1808805/000180880526000011/naut-20251231.htm" TargetMode="External"/><Relationship Id="rId18" Type="http://schemas.openxmlformats.org/officeDocument/2006/relationships/hyperlink" Target="https://www.sec.gov/Archives/edgar/data/1808805/000180880526000023/nautilusdef14a20260617a.htm" TargetMode="External"/><Relationship Id="rId19" Type="http://schemas.openxmlformats.org/officeDocument/2006/relationships/hyperlink" Target="https://www.sec.gov/ix?doc=/Archives/edgar/data/1808805/000180880526000022/naut-20260331.htm" TargetMode="External"/><Relationship Id="rId20" Type="http://schemas.openxmlformats.org/officeDocument/2006/relationships/hyperlink" Target="https://www.sec.gov/ix?doc=/Archives/edgar/data/1808805/000180880526000034/naut-20260630.htm" TargetMode="External"/><Relationship Id="rId21" Type="http://schemas.openxmlformats.org/officeDocument/2006/relationships/hyperlink" Target="https://www.sec.gov/ix?doc=/Archives/edgar/data/1808805/000180880526000022/naut-20260331.htm" TargetMode="External"/><Relationship Id="rId22" Type="http://schemas.openxmlformats.org/officeDocument/2006/relationships/hyperlink" Target="https://www.sec.gov/ix?doc=/Archives/edgar/data/1808805/000180880526000034/naut-20260630.htm" TargetMode="External"/><Relationship Id="rId23" Type="http://schemas.openxmlformats.org/officeDocument/2006/relationships/hyperlink" Target="https://www.sec.gov/ix?doc=/Archives/edgar/data/1808805/000180880526000027/naut-20260617.htm" TargetMode="External"/><Relationship Id="rId24" Type="http://schemas.openxmlformats.org/officeDocument/2006/relationships/hyperlink" Target="https://www.sec.gov/Archives/edgar/data/1808805/000114036120017640/nt10013610x6_8a12b.htm" TargetMode="External"/><Relationship Id="rId25" Type="http://schemas.openxmlformats.org/officeDocument/2006/relationships/image" Target="media/image2.jpeg"/><Relationship Id="rId26" Type="http://schemas.openxmlformats.org/officeDocument/2006/relationships/hyperlink" Target="https://www.sec.gov/Archives/edgar/data/1808805/000162828021011892/exhibit31-form8xkclosing.htm" TargetMode="External"/><Relationship Id="rId27" Type="http://schemas.openxmlformats.org/officeDocument/2006/relationships/hyperlink" Target="https://www.sec.gov/Archives/edgar/data/1808805/000180880523000069/exhibit32-nautilusbiotechn.htm" TargetMode="External"/><Relationship Id="rId28" Type="http://schemas.openxmlformats.org/officeDocument/2006/relationships/hyperlink" Target="https://www.sec.gov/Archives/edgar/data/1808805/000180880523000011/exhibit42-descriptionofsec.htm" TargetMode="External"/><Relationship Id="rId29" Type="http://schemas.openxmlformats.org/officeDocument/2006/relationships/hyperlink" Target="https://www.sec.gov/Archives/edgar/data/1808805/000162828021011892/exhibit41-super8xkclosing.htm" TargetMode="External"/><Relationship Id="rId30" Type="http://schemas.openxmlformats.org/officeDocument/2006/relationships/hyperlink" Target="https://www.sec.gov/Archives/edgar/data/1808805/000114036121003650/brhc10019858_ex10-2.htm" TargetMode="External"/><Relationship Id="rId31" Type="http://schemas.openxmlformats.org/officeDocument/2006/relationships/hyperlink" Target="https://www.sec.gov/Archives/edgar/data/1808805/000180880524000005/exhibit103nautilus-amendme.htm" TargetMode="External"/><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3.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155</Pages>
  <Words>71775</Words>
  <Characters>374289</Characters>
  <CharactersWithSpaces>444984</CharactersWithSpaces>
  <Paragraphs>2289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